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Bericht der Konzernrevision – Einkauf 2023</w:t>
      </w:r>
    </w:p>
    <w:p>
      <w:pPr>
        <w:jc w:val="center"/>
      </w:pPr>
      <w:r>
        <w:t>Interne Revision gemaess IIA-Standards – Pruefungsjahr 2023</w:t>
      </w:r>
    </w:p>
    <w:p/>
    <w:p>
      <w:pPr>
        <w:pStyle w:val="Heading3"/>
      </w:pPr>
      <w:r>
        <w:t>Auftrag und Methodik</w:t>
      </w:r>
    </w:p>
    <w:p>
      <w:r>
        <w:t>Die Konzernrevision (Internal Audit) der Brennhagen Elektronik AG hat im Berichtsjahr 2023 eine Revision des Bereichs »Einkauf« durchgefuehrt. Auftrag gemaess Audit-Plan, freigegeben durch den Pruefungsausschuss des Aufsichtsrats (Vorsitz Prof. Dr.-Ing. Voss). Pruefungsleiter: Andreas Buehler (Chief Audit Executive). Methodik: risikoorientierte Pruefung gemaess IIA-Standards (International Standards for the Professional Practice of Internal Auditing) und IDW PS 320.</w:t>
      </w:r>
    </w:p>
    <w:p>
      <w:pPr>
        <w:pStyle w:val="Heading3"/>
      </w:pPr>
      <w:r>
        <w:t>Pruefungsumfang (Scope)</w:t>
      </w:r>
    </w:p>
    <w:p>
      <w:r>
        <w:t>Pruefung des konzernweiten Beschaffungsprozesses (Source-to-Pay) am Beispiel ausgewaehlter Lieferanten / Warengruppen (Elektronikkomponenten, MRO, IT-Services). Stichprobe: 65 Bestellvorgaenge &gt;= 50 kEUR im Berichtsjahr.</w:t>
      </w:r>
    </w:p>
    <w:p>
      <w:pPr>
        <w:pStyle w:val="Heading3"/>
      </w:pPr>
      <w:r>
        <w:t>Pruefungsschwerpunkte</w:t>
      </w:r>
    </w:p>
    <w:p>
      <w:pPr>
        <w:pStyle w:val="ListBullet"/>
      </w:pPr>
      <w:r>
        <w:t>Lieferantenfreigabe und -qualifizierung (KYC, Compliance-Klauseln)</w:t>
      </w:r>
    </w:p>
    <w:p>
      <w:pPr>
        <w:pStyle w:val="ListBullet"/>
      </w:pPr>
      <w:r>
        <w:t>Vier-Augen-Prinzip bei Bestellungen / SAP-Berechtigungen</w:t>
      </w:r>
    </w:p>
    <w:p>
      <w:pPr>
        <w:pStyle w:val="ListBullet"/>
      </w:pPr>
      <w:r>
        <w:t>Vergabe-/Ausschreibungsprozess &gt;= 250 kEUR (Three-Quote-Rule)</w:t>
      </w:r>
    </w:p>
    <w:p>
      <w:pPr>
        <w:pStyle w:val="ListBullet"/>
      </w:pPr>
      <w:r>
        <w:t>Wareneingang vs. Rechnungspruefung (3-Way-Match SAP MM/FI)</w:t>
      </w:r>
    </w:p>
    <w:p>
      <w:pPr>
        <w:pStyle w:val="ListBullet"/>
      </w:pPr>
      <w:r>
        <w:t>Vertragsmanagement und Compliance-Klausel-Coverage Rahmenvertraege</w:t>
      </w:r>
    </w:p>
    <w:p>
      <w:pPr>
        <w:pStyle w:val="Heading3"/>
      </w:pPr>
      <w:r>
        <w:t>Wesentliche Feststellungen</w:t>
      </w:r>
    </w:p>
    <w:p>
      <w:r>
        <w:t>Drei moderate Findings: (1) bei 4 von 65 Bestellungen unvollstaendige Three-Quote-Dokumentation; (2) bei 2 Faellen fehlte aktualisierte Lieferanten-CoC-Bestaetigung; (3) Compliance-Klausel in 8 von 30 Rahmenvertraegen veraltet (Stand 2019, nicht LkSG-konform). Keine Hinweise auf doloses Verhalten oder wesentliche Verluste. Empfohlene Korrektur-Prioritaet: hoch (Klausel-Update).</w:t>
      </w:r>
    </w:p>
    <w:p>
      <w:pPr>
        <w:pStyle w:val="Heading3"/>
      </w:pPr>
      <w:r>
        <w:t>Empfehlungen und Massnahmen</w:t>
      </w:r>
    </w:p>
    <w:p>
      <w:pPr>
        <w:pStyle w:val="Heading4"/>
      </w:pPr>
      <w:r>
        <w:t>§ 1 Three-Quote-Rule</w:t>
      </w:r>
    </w:p>
    <w:p>
      <w:r>
        <w:rPr>
          <w:b/>
        </w:rPr>
        <w:t xml:space="preserve">(1) </w:t>
      </w:r>
      <w:r>
        <w:t>Verschaerfung der Dokumentationspflicht im SAP-SRM (Pflichtfelder); rollierender Check durch Procurement Compliance; Stichproben durch Konzernrevision halbjaehrlich.</w:t>
      </w:r>
    </w:p>
    <w:p>
      <w:pPr>
        <w:pStyle w:val="Heading4"/>
      </w:pPr>
      <w:r>
        <w:t>§ 2 Lieferanten-CoC</w:t>
      </w:r>
    </w:p>
    <w:p>
      <w:r>
        <w:rPr>
          <w:b/>
        </w:rPr>
        <w:t xml:space="preserve">(1) </w:t>
      </w:r>
      <w:r>
        <w:t>Roll-out der ueberarbeiteten CoC-Version 2023 ueber DocuSign; Tracking der Akzeptanzquote (Ziel 100 % Top-200 Lieferanten).</w:t>
      </w:r>
    </w:p>
    <w:p>
      <w:pPr>
        <w:pStyle w:val="Heading4"/>
      </w:pPr>
      <w:r>
        <w:t>§ 3 Rahmenvertraege</w:t>
      </w:r>
    </w:p>
    <w:p>
      <w:r>
        <w:rPr>
          <w:b/>
        </w:rPr>
        <w:t xml:space="preserve">(1) </w:t>
      </w:r>
      <w:r>
        <w:t>Sammelaktion zur Aktualisierung der Compliance-/LkSG-Klauseln in allen Rahmenvertraegen (Eigentumsvorbehalt, Anti-Korruption, Audit-Right, LkSG-Klausel, Sanktionen). Deadline 30.6.2024.</w:t>
      </w:r>
    </w:p>
    <w:p>
      <w:pPr>
        <w:pStyle w:val="Heading3"/>
      </w:pPr>
      <w:r>
        <w:t>Stellungnahme der Fachabteilung</w:t>
      </w:r>
    </w:p>
    <w:p>
      <w:r>
        <w:t>Die geprueften Bereiche haben die Feststellungen anerkannt und sich zur Umsetzung der Empfehlungen verpflichtet. Detaillierter Massnahmenplan im Tracking-Tool (Konzern-Revisions-Datenbank »Audit Hub«); Follow-up durch Konzernrevision binnen 6 Monaten.</w:t>
      </w:r>
    </w:p>
    <w:p>
      <w:pPr>
        <w:pStyle w:val="Heading3"/>
      </w:pPr>
      <w:r>
        <w:t>Gesamtbewertung</w:t>
      </w:r>
    </w:p>
    <w:p>
      <w:r>
        <w:t>Das interne Kontrollsystem im Bereich Einkauf wird insgesamt als »weitgehend angemessen« bewertet. Die identifizierten Findings sind als »minor« bzw. »moderate« einzustufen; keine wesentlichen Schwaechen (»significant deficiencies«) festgestellt.</w:t>
      </w:r>
    </w:p>
    <w:p>
      <w:pPr>
        <w:pStyle w:val="Heading3"/>
      </w:pPr>
      <w:r>
        <w:t>Verteiler</w:t>
      </w:r>
    </w:p>
    <w:p>
      <w:r>
        <w:t>Vorstand REA (CEO, CFO, COO, CTO), Compliance Officer Dr. Constanze Behrens, externer Wirtschaftspruefer KPMG (Dr. Brand) im Rahmen des Audit-Universe-Briefings, Pruefungsausschuss Aufsichtsrat.</w:t>
      </w:r>
    </w:p>
    <w:p>
      <w:pPr>
        <w:pStyle w:val="Heading3"/>
      </w:pPr>
      <w:r>
        <w:t>Unterschriften</w:t>
      </w:r>
    </w:p>
    <w:p>
      <w:r>
        <w:t>Ort, Datum: Stuttgart, den 15. November 2023</w:t>
      </w:r>
    </w:p>
    <w:p>
      <w:r>
        <w:t>_________________________            _________________________</w:t>
        <w:br/>
        <w:t>Andreas Buehler                          Bereichsverantwortliche/r</w:t>
        <w:br/>
        <w:t>Chief Audit Executive (CAE)                          Geprueft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