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F E RSG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»F E RSG«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Forschungs- und Entwicklungsbereichs der RSG Brennhagen Software GmbH, Muenchen, insbesondere im Hinblick auf Projekt-Charter-Prozesse, Stage-Gate-Reviews, ASPICE-Konformitaet, IP-Management und Lieferanten-Compliance (Open-Source-Software).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Projekt-Charter und Stage-Gate-Disziplin (Gate 0-Gate 4)</w:t>
      </w:r>
    </w:p>
    <w:p>
      <w:pPr>
        <w:pStyle w:val="ListBullet"/>
      </w:pPr>
      <w:r>
        <w:t>ASPICE Level 2/3 Assessment-Status pro Projekt (ICP-3, BMS-12, ADAS-V4D, ECU-900)</w:t>
      </w:r>
    </w:p>
    <w:p>
      <w:pPr>
        <w:pStyle w:val="ListBullet"/>
      </w:pPr>
      <w:r>
        <w:t>IP-Management: Erfinder-Meldungen, Patentantraege (Boehmert &amp; Boehmert)</w:t>
      </w:r>
    </w:p>
    <w:p>
      <w:pPr>
        <w:pStyle w:val="ListBullet"/>
      </w:pPr>
      <w:r>
        <w:t>Open-Source-Compliance (FOSSology-Scans, OSS-Reviewboard)</w:t>
      </w:r>
    </w:p>
    <w:p>
      <w:pPr>
        <w:pStyle w:val="ListBullet"/>
      </w:pPr>
      <w:r>
        <w:t>Personalkostenverrechnung Konzerntoechter (TP-Konformitaet)</w:t>
      </w:r>
    </w:p>
    <w:p>
      <w:pPr>
        <w:pStyle w:val="Heading3"/>
      </w:pPr>
      <w:r>
        <w:t>Wesentliche Feststellungen</w:t>
      </w:r>
    </w:p>
    <w:p>
      <w:r>
        <w:t>Zwei moderate Findings: (1) ASPICE-Level-2-Assessment fuer BMS-12 verzoegert (Plan Q3, Ist Q4); (2) Open-Source-Inventar von 11 Komponenten zeigt 3 Lizenzen mit Copyleft-Risiko (GPL v2) – Reviewboard-Entscheidung steht aus. Erfinder-Meldungen termingerecht. Keine wesentlichen Maengel.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ASPICE-Roadmap</w:t>
      </w:r>
    </w:p>
    <w:p>
      <w:r>
        <w:rPr>
          <w:b/>
        </w:rPr>
        <w:t xml:space="preserve">(1) </w:t>
      </w:r>
      <w:r>
        <w:t>Beschleunigung des ASPICE-Level-2-Assessments BMS-12 in Zusammenarbeit mit Kugler Maag; Verbindliche Meilenstein-Reviews durch RSG-GL und Vorstands-CTO.</w:t>
      </w:r>
    </w:p>
    <w:p>
      <w:pPr>
        <w:pStyle w:val="Heading4"/>
      </w:pPr>
      <w:r>
        <w:t>§ 2 Open-Source-Compliance</w:t>
      </w:r>
    </w:p>
    <w:p>
      <w:r>
        <w:rPr>
          <w:b/>
        </w:rPr>
        <w:t xml:space="preserve">(1) </w:t>
      </w:r>
      <w:r>
        <w:t>Reviewboard-Entscheidung zu GPL-v2-Komponenten zu treffen (Trennung Userspace vs. Linker, ggf. Re-Implementation oder Lizenzwechsel) – Deadline 60 Tage.</w:t>
      </w:r>
    </w:p>
    <w:p>
      <w:pPr>
        <w:pStyle w:val="Heading4"/>
      </w:pPr>
      <w:r>
        <w:t>§ 3 TP-Konformitaet RSG-Personalverrechnung</w:t>
      </w:r>
    </w:p>
    <w:p>
      <w:r>
        <w:rPr>
          <w:b/>
        </w:rPr>
        <w:t xml:space="preserve">(1) </w:t>
      </w:r>
      <w:r>
        <w:t>Local-File / Verrechnungspreis-Dokumentation aktualisieren; Markup auf Personalkosten beibehalten (Cost-plus 8 %); Validierung durch Group Tax (Dr. Berger).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F E RSG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