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Finance Controlling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»Finance Controlling«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Group Controllings und Finanz-Reportings, insbesondere Monatsabschlussprozess (Fast Close), HFM/SAP-FC-Konsolidierung, IFRS-Bilanzierungsrichtlinien-Compliance und Internal Controls over Financial Reporting (ICFR).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Monatsabschluss-Disziplin (Fast Close WT 5)</w:t>
      </w:r>
    </w:p>
    <w:p>
      <w:pPr>
        <w:pStyle w:val="ListBullet"/>
      </w:pPr>
      <w:r>
        <w:t>ICFR Schluessel-Kontrollen (Account-Reconciliation, JE-Approval, Top-Side-Adjustments)</w:t>
      </w:r>
    </w:p>
    <w:p>
      <w:pPr>
        <w:pStyle w:val="ListBullet"/>
      </w:pPr>
      <w:r>
        <w:t>Konsolidierung HFM / SAP S/4-FC (Eliminierungen IC)</w:t>
      </w:r>
    </w:p>
    <w:p>
      <w:pPr>
        <w:pStyle w:val="ListBullet"/>
      </w:pPr>
      <w:r>
        <w:t>Hedge-Accounting nach IFRS 9 (FX-Forward, Hyundai, BMW, Stellantis-Volumina)</w:t>
      </w:r>
    </w:p>
    <w:p>
      <w:pPr>
        <w:pStyle w:val="ListBullet"/>
      </w:pPr>
      <w:r>
        <w:t>Going-Concern-Prozess und Liquiditaetsforecast 13-Wochen-Tool</w:t>
      </w:r>
    </w:p>
    <w:p>
      <w:pPr>
        <w:pStyle w:val="Heading3"/>
      </w:pPr>
      <w:r>
        <w:t>Wesentliche Feststellungen</w:t>
      </w:r>
    </w:p>
    <w:p>
      <w:r>
        <w:t>Zwei moderate Findings: (1) bei 6 % der Konten-Reconciliations Zeitueberschreitung &gt; WT 8; (2) Top-Side-Adjustments durch Group Controlling nicht durchgaengig mit Begruendung dokumentiert (MAR-Relevanz pruefen). Hedge-Accounting-Dokumentation als angemessen bestaetigt; ICFR-Kontrollen-Wirksamkeit weit ueberwiegend gegeben.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Konten-Reconciliations</w:t>
      </w:r>
    </w:p>
    <w:p>
      <w:r>
        <w:rPr>
          <w:b/>
        </w:rPr>
        <w:t xml:space="preserve">(1) </w:t>
      </w:r>
      <w:r>
        <w:t>Automatisierung im Tool Blackline rolloutweise (Q1/Q2 Folgejahr); SLA WT 5; Excellence Award fuer Top-Performer-Werke.</w:t>
      </w:r>
    </w:p>
    <w:p>
      <w:pPr>
        <w:pStyle w:val="Heading4"/>
      </w:pPr>
      <w:r>
        <w:t>§ 2 Top-Side-Adjustments Disziplin</w:t>
      </w:r>
    </w:p>
    <w:p>
      <w:r>
        <w:rPr>
          <w:b/>
        </w:rPr>
        <w:t xml:space="preserve">(1) </w:t>
      </w:r>
      <w:r>
        <w:t>Verbindliches Begruendungsfeld mit Reviewer-Workflow im Konsolidierungs-Tool; MAR-Pruefung durch Insider-/Compliance-Funktion bei materiellen Adjustments.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Finance Controlling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