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HR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»HR«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HR-Prozesse Konzern (Workday, ADP, SAP HCM) inkl. Recruiting, Onboarding, Performance Management, Verguetungsprozess (Bonus, LTI), Betriebsrats-Compliance.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Stammdatenqualitaet Workday/ADP (DSGVO-Konformitaet, Loeschkonzepte)</w:t>
      </w:r>
    </w:p>
    <w:p>
      <w:pPr>
        <w:pStyle w:val="ListBullet"/>
      </w:pPr>
      <w:r>
        <w:t>Bonus-Pool-Berechnung und LTI-Allokation (Vorstands- und obere Fuehrungsebene)</w:t>
      </w:r>
    </w:p>
    <w:p>
      <w:pPr>
        <w:pStyle w:val="ListBullet"/>
      </w:pPr>
      <w:r>
        <w:t>Betriebsrats-Mitbestimmung (insb. § 87 BetrVG-Themen)</w:t>
      </w:r>
    </w:p>
    <w:p>
      <w:pPr>
        <w:pStyle w:val="ListBullet"/>
      </w:pPr>
      <w:r>
        <w:t>Diversity-KPIs (Frauenanteil; Sustainability-Linked-Margin RCF)</w:t>
      </w:r>
    </w:p>
    <w:p>
      <w:pPr>
        <w:pStyle w:val="ListBullet"/>
      </w:pPr>
      <w:r>
        <w:t>Personalakten und Datenschutz</w:t>
      </w:r>
    </w:p>
    <w:p>
      <w:pPr>
        <w:pStyle w:val="Heading3"/>
      </w:pPr>
      <w:r>
        <w:t>Wesentliche Feststellungen</w:t>
      </w:r>
    </w:p>
    <w:p>
      <w:r>
        <w:t>Zwei minor Findings: (1) bei 3 % Workday-Datensaetzen Inkonsistenz HR-Profil vs. Vertrag (Korrektur laufend); (2) Diversity-KPI-Reporting konsistent, allerdings Mittelfristziel Frauenanteil im Top-150-Management noch unterhalb Plan (Ist 23 %, Ziel 30 % bis 2026). LTI-Allokation und Bonus-Pool-Berechnung rechnerisch korrekt; Mitbestimmungs-Compliance angemessen.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Workday-Stammdaten</w:t>
      </w:r>
    </w:p>
    <w:p>
      <w:r>
        <w:rPr>
          <w:b/>
        </w:rPr>
        <w:t xml:space="preserve">(1) </w:t>
      </w:r>
      <w:r>
        <w:t>Q-monatlicher Datenqualitaets-Report; Bereinigung Inkonsistenzen binnen 60 Tagen.</w:t>
      </w:r>
    </w:p>
    <w:p>
      <w:pPr>
        <w:pStyle w:val="Heading4"/>
      </w:pPr>
      <w:r>
        <w:t>§ 2 Diversity-Roadmap</w:t>
      </w:r>
    </w:p>
    <w:p>
      <w:r>
        <w:rPr>
          <w:b/>
        </w:rPr>
        <w:t xml:space="preserve">(1) </w:t>
      </w:r>
      <w:r>
        <w:t>Verschaerfung der Massnahmenpakete (Talent-Pipeline, Mentoring, Gender-Pay-Audit) zur Erreichung des 30 %-Ziels Frauen in Fuehrung bis 2026.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HR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