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IT Infrastruktur 2022</w:t>
      </w:r>
    </w:p>
    <w:p>
      <w:pPr>
        <w:jc w:val="center"/>
      </w:pPr>
      <w:r>
        <w:t>Interne Revision gemaess IIA-Standards – Pruefungsjahr 2022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2022 eine Revision des Bereichs »IT Infrastruktur«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der konzernweiten IT-Infrastruktur und -Sicherheit, insbesondere ISO-27001-Vorbereitung (Roll-out 2024-2025), Cloud-Strategie (Azure/AWS), Network Segmentation, Identity &amp; Access Management, Backup/Disaster Recovery, Patch Management.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ISO 27001:2022 Gap-Analyse und Stage-1/2-Vorbereitung</w:t>
      </w:r>
    </w:p>
    <w:p>
      <w:pPr>
        <w:pStyle w:val="ListBullet"/>
      </w:pPr>
      <w:r>
        <w:t>IAM (Azure AD), MFA-Coverage, Privileged Access Management (CyberArk)</w:t>
      </w:r>
    </w:p>
    <w:p>
      <w:pPr>
        <w:pStyle w:val="ListBullet"/>
      </w:pPr>
      <w:r>
        <w:t>Backup/Restore-Tests (Tier-1-Systeme SAP S/4, Salesforce, Workday)</w:t>
      </w:r>
    </w:p>
    <w:p>
      <w:pPr>
        <w:pStyle w:val="ListBullet"/>
      </w:pPr>
      <w:r>
        <w:t>Patch-Management Endpoint und Server (CrowdStrike, Tenable)</w:t>
      </w:r>
    </w:p>
    <w:p>
      <w:pPr>
        <w:pStyle w:val="ListBullet"/>
      </w:pPr>
      <w:r>
        <w:t>Disaster Recovery &amp; Business Continuity (Tier-1 RPO 4h, RTO 24h)</w:t>
      </w:r>
    </w:p>
    <w:p>
      <w:pPr>
        <w:pStyle w:val="Heading3"/>
      </w:pPr>
      <w:r>
        <w:t>Wesentliche Feststellungen</w:t>
      </w:r>
    </w:p>
    <w:p>
      <w:r>
        <w:t>Drei moderate Findings: (1) MFA-Coverage 97 %, Restquote Service-Accounts ohne Hardware-Token; (2) Patch-SLAs in 6 % der Faelle ueberschritten (insb. Produktions-OT-Systeme REG/RPL); (3) BCM-Test-Frequenz Tier-2-Anwendungen unterhalb Soll (1x p. a. vs. 2x p. a.). ISO-27001-Reifegrad: Gap-Analyse abgeschlossen, Stage-1-Audit Q1/2024 geplant.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MFA-Endgame</w:t>
      </w:r>
    </w:p>
    <w:p>
      <w:r>
        <w:rPr>
          <w:b/>
        </w:rPr>
        <w:t xml:space="preserve">(1) </w:t>
      </w:r>
      <w:r>
        <w:t>100 %-MFA inkl. Service-Account-Vault binnen 90 Tagen.</w:t>
      </w:r>
    </w:p>
    <w:p>
      <w:pPr>
        <w:pStyle w:val="Heading4"/>
      </w:pPr>
      <w:r>
        <w:t>§ 2 OT-Patch-Management</w:t>
      </w:r>
    </w:p>
    <w:p>
      <w:r>
        <w:rPr>
          <w:b/>
        </w:rPr>
        <w:t xml:space="preserve">(1) </w:t>
      </w:r>
      <w:r>
        <w:t>Spezielles OT-Patch-Fenster pro Werk (REG/RPL) mit Maintenance-Plan abstimmen; SLA 30 Tage critical.</w:t>
      </w:r>
    </w:p>
    <w:p>
      <w:pPr>
        <w:pStyle w:val="Heading4"/>
      </w:pPr>
      <w:r>
        <w:t>§ 3 BCM-Test-Frequenz</w:t>
      </w:r>
    </w:p>
    <w:p>
      <w:r>
        <w:rPr>
          <w:b/>
        </w:rPr>
        <w:t xml:space="preserve">(1) </w:t>
      </w:r>
      <w:r>
        <w:t>Verdoppelung der Tier-2-DR-Tests; Auditierte Berichte im Konzern-BCM-Tool.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IT Infrastruktur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2022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