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Legal Compliance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»Legal Compliance«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Konzern-Compliance-Funktion und Legal-Department-Prozesse, insb. Mandatsteuerung Hengeler Mueller, Vertragsdatenbank (CLM-Tool), Litigation-Tracking, Compliance-Trainings, Hinweisgebersystem.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Mandatsteuerung externer Kanzleien (Hengeler Mueller, lokale Counsels)</w:t>
      </w:r>
    </w:p>
    <w:p>
      <w:pPr>
        <w:pStyle w:val="ListBullet"/>
      </w:pPr>
      <w:r>
        <w:t>Contract Lifecycle Management (CLM) und Klausel-Bibliothek</w:t>
      </w:r>
    </w:p>
    <w:p>
      <w:pPr>
        <w:pStyle w:val="ListBullet"/>
      </w:pPr>
      <w:r>
        <w:t>Litigation-Tracking und Reserven (IAS 37) Reporting</w:t>
      </w:r>
    </w:p>
    <w:p>
      <w:pPr>
        <w:pStyle w:val="ListBullet"/>
      </w:pPr>
      <w:r>
        <w:t>Compliance-Training-Tracker und Coverage-KPIs</w:t>
      </w:r>
    </w:p>
    <w:p>
      <w:pPr>
        <w:pStyle w:val="ListBullet"/>
      </w:pPr>
      <w:r>
        <w:t>Hinweisgebersystem »SPEAK-UP« (EQS Group) – Vertraulichkeit, Fristen, Statistik</w:t>
      </w:r>
    </w:p>
    <w:p>
      <w:pPr>
        <w:pStyle w:val="Heading3"/>
      </w:pPr>
      <w:r>
        <w:t>Wesentliche Feststellungen</w:t>
      </w:r>
    </w:p>
    <w:p>
      <w:r>
        <w:t>Zwei minor Findings: (1) CLM-Tool Adoption Tochtergesellschaften RPL/RHU noch unter 70 % (Konzern-Schnitt 86 %); (2) Compliance-Training-Coverage Antitrust auf 94 % – Ziel 98 %. Litigation-Reserven (IAS 37) konsistent mit Hengeler-Counsel-Einschaetzungen; Hinweisgebersystem-Statistik vollstaendig und vertraulich.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CLM-Adoption</w:t>
      </w:r>
    </w:p>
    <w:p>
      <w:r>
        <w:rPr>
          <w:b/>
        </w:rPr>
        <w:t xml:space="preserve">(1) </w:t>
      </w:r>
      <w:r>
        <w:t>Verbindlicher Roll-out RPL/RHU Q1/Q2-Folgejahr; KPI-Reporting an Vorstand quartalsweise.</w:t>
      </w:r>
    </w:p>
    <w:p>
      <w:pPr>
        <w:pStyle w:val="Heading4"/>
      </w:pPr>
      <w:r>
        <w:t>§ 2 Antitrust-Training</w:t>
      </w:r>
    </w:p>
    <w:p>
      <w:r>
        <w:rPr>
          <w:b/>
        </w:rPr>
        <w:t xml:space="preserve">(1) </w:t>
      </w:r>
      <w:r>
        <w:t>Reminder-Kampagne und Eskalation an Fuehrungskraefte zur Erreichung 98 %-Coverage bis 31.12.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Legal Compliance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