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CC0000"/>
        </w:rPr>
        <w:t>VERTRAULICH – STRENG VERTRAULICH / STRICTLY CONFIDENTIAL</w:t>
      </w:r>
    </w:p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Bericht der Konzernrevision – Legal Compliance 2023</w:t>
      </w:r>
    </w:p>
    <w:p>
      <w:pPr>
        <w:jc w:val="center"/>
      </w:pPr>
      <w:r>
        <w:t>Interne Revision gemaess IIA-Standards – Pruefungsjahr 2023</w:t>
      </w:r>
    </w:p>
    <w:p/>
    <w:p>
      <w:pPr>
        <w:pStyle w:val="Heading3"/>
      </w:pPr>
      <w:r>
        <w:t>Auftrag und Methodik</w:t>
      </w:r>
    </w:p>
    <w:p>
      <w:r>
        <w:t>Die Konzernrevision (Internal Audit) der Brennhagen Elektronik AG hat im Berichtsjahr 2023 eine Revision des Bereichs »Legal Compliance« durchgefuehrt. Auftrag gemaess Audit-Plan, freigegeben durch den Pruefungsausschuss des Aufsichtsrats (Vorsitz Prof. Dr.-Ing. Voss). Pruefungsleiter: Andreas Buehler (Chief Audit Executive). Methodik: risikoorientierte Pruefung gemaess IIA-Standards (International Standards for the Professional Practice of Internal Auditing) und IDW PS 320.</w:t>
      </w:r>
    </w:p>
    <w:p>
      <w:pPr>
        <w:pStyle w:val="Heading3"/>
      </w:pPr>
      <w:r>
        <w:t>Pruefungsumfang (Scope)</w:t>
      </w:r>
    </w:p>
    <w:p>
      <w:r>
        <w:t>Pruefung der Konzern-Compliance-Funktion und Legal-Department-Prozesse, insb. Mandatsteuerung Hengeler Mueller, Vertragsdatenbank (CLM-Tool), Litigation-Tracking, Compliance-Trainings, Hinweisgebersystem.</w:t>
      </w:r>
    </w:p>
    <w:p>
      <w:pPr>
        <w:pStyle w:val="Heading3"/>
      </w:pPr>
      <w:r>
        <w:t>Pruefungsschwerpunkte</w:t>
      </w:r>
    </w:p>
    <w:p>
      <w:pPr>
        <w:pStyle w:val="ListBullet"/>
      </w:pPr>
      <w:r>
        <w:t>Mandatsteuerung externer Kanzleien (Hengeler Mueller, lokale Counsels)</w:t>
      </w:r>
    </w:p>
    <w:p>
      <w:pPr>
        <w:pStyle w:val="ListBullet"/>
      </w:pPr>
      <w:r>
        <w:t>Contract Lifecycle Management (CLM) und Klausel-Bibliothek</w:t>
      </w:r>
    </w:p>
    <w:p>
      <w:pPr>
        <w:pStyle w:val="ListBullet"/>
      </w:pPr>
      <w:r>
        <w:t>Litigation-Tracking und Reserven (IAS 37) Reporting</w:t>
      </w:r>
    </w:p>
    <w:p>
      <w:pPr>
        <w:pStyle w:val="ListBullet"/>
      </w:pPr>
      <w:r>
        <w:t>Compliance-Training-Tracker und Coverage-KPIs</w:t>
      </w:r>
    </w:p>
    <w:p>
      <w:pPr>
        <w:pStyle w:val="ListBullet"/>
      </w:pPr>
      <w:r>
        <w:t>Hinweisgebersystem »SPEAK-UP« (EQS Group) – Vertraulichkeit, Fristen, Statistik</w:t>
      </w:r>
    </w:p>
    <w:p>
      <w:pPr>
        <w:pStyle w:val="Heading3"/>
      </w:pPr>
      <w:r>
        <w:t>Wesentliche Feststellungen</w:t>
      </w:r>
    </w:p>
    <w:p>
      <w:r>
        <w:t>Zwei minor Findings: (1) CLM-Tool Adoption Tochtergesellschaften RPL/RHU noch unter 70 % (Konzern-Schnitt 86 %); (2) Compliance-Training-Coverage Antitrust auf 94 % – Ziel 98 %. Litigation-Reserven (IAS 37) konsistent mit Hengeler-Counsel-Einschaetzungen; Hinweisgebersystem-Statistik vollstaendig und vertraulich.</w:t>
      </w:r>
    </w:p>
    <w:p>
      <w:pPr>
        <w:pStyle w:val="Heading3"/>
      </w:pPr>
      <w:r>
        <w:t>Empfehlungen und Massnahmen</w:t>
      </w:r>
    </w:p>
    <w:p>
      <w:pPr>
        <w:pStyle w:val="Heading4"/>
      </w:pPr>
      <w:r>
        <w:t>§ 1 CLM-Adoption</w:t>
      </w:r>
    </w:p>
    <w:p>
      <w:r>
        <w:rPr>
          <w:b/>
        </w:rPr>
        <w:t xml:space="preserve">(1) </w:t>
      </w:r>
      <w:r>
        <w:t>Verbindlicher Roll-out RPL/RHU Q1/Q2-Folgejahr; KPI-Reporting an Vorstand quartalsweise.</w:t>
      </w:r>
    </w:p>
    <w:p>
      <w:pPr>
        <w:pStyle w:val="Heading4"/>
      </w:pPr>
      <w:r>
        <w:t>§ 2 Antitrust-Training</w:t>
      </w:r>
    </w:p>
    <w:p>
      <w:r>
        <w:rPr>
          <w:b/>
        </w:rPr>
        <w:t xml:space="preserve">(1) </w:t>
      </w:r>
      <w:r>
        <w:t>Reminder-Kampagne und Eskalation an Fuehrungskraefte zur Erreichung 98 %-Coverage bis 31.12.</w:t>
      </w:r>
    </w:p>
    <w:p>
      <w:pPr>
        <w:pStyle w:val="Heading3"/>
      </w:pPr>
      <w:r>
        <w:t>Stellungnahme der Fachabteilung</w:t>
      </w:r>
    </w:p>
    <w:p>
      <w:r>
        <w:t>Die geprueften Bereiche haben die Feststellungen anerkannt und sich zur Umsetzung der Empfehlungen verpflichtet. Detaillierter Massnahmenplan im Tracking-Tool (Konzern-Revisions-Datenbank »Audit Hub«); Follow-up durch Konzernrevision binnen 6 Monaten.</w:t>
      </w:r>
    </w:p>
    <w:p>
      <w:pPr>
        <w:pStyle w:val="Heading3"/>
      </w:pPr>
      <w:r>
        <w:t>Gesamtbewertung</w:t>
      </w:r>
    </w:p>
    <w:p>
      <w:r>
        <w:t>Das interne Kontrollsystem im Bereich Legal Compliance wird insgesamt als »weitgehend angemessen« bewertet. Die identifizierten Findings sind als »minor« bzw. »moderate« einzustufen; keine wesentlichen Schwaechen (»significant deficiencies«) festgestellt.</w:t>
      </w:r>
    </w:p>
    <w:p>
      <w:pPr>
        <w:pStyle w:val="Heading3"/>
      </w:pPr>
      <w:r>
        <w:t>Verteiler</w:t>
      </w:r>
    </w:p>
    <w:p>
      <w:r>
        <w:t>Vorstand REA (CEO, CFO, COO, CTO), Compliance Officer Dr. Constanze Behrens, externer Wirtschaftspruefer KPMG (Dr. Brand) im Rahmen des Audit-Universe-Briefings, Pruefungsausschuss Aufsichtsrat.</w:t>
      </w:r>
    </w:p>
    <w:p>
      <w:pPr>
        <w:pStyle w:val="Heading3"/>
      </w:pPr>
      <w:r>
        <w:t>Unterschriften</w:t>
      </w:r>
    </w:p>
    <w:p>
      <w:r>
        <w:t>Ort, Datum: Stuttgart, den 15. November 2023</w:t>
      </w:r>
    </w:p>
    <w:p>
      <w:r>
        <w:t>_________________________            _________________________</w:t>
        <w:br/>
        <w:t>Andreas Buehler                          Bereichsverantwortliche/r</w:t>
        <w:br/>
        <w:t>Chief Audit Executive (CAE)                          Geprueft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