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Bericht der Konzernrevision – Produktion RPL 2022</w:t>
      </w:r>
    </w:p>
    <w:p>
      <w:pPr>
        <w:jc w:val="center"/>
      </w:pPr>
      <w:r>
        <w:t>Interne Revision gemaess IIA-Standards – Pruefungsjahr 2022</w:t>
      </w:r>
    </w:p>
    <w:p/>
    <w:p>
      <w:pPr>
        <w:pStyle w:val="Heading3"/>
      </w:pPr>
      <w:r>
        <w:t>Auftrag und Methodik</w:t>
      </w:r>
    </w:p>
    <w:p>
      <w:r>
        <w:t>Die Konzernrevision (Internal Audit) der Brennhagen Elektronik AG hat im Berichtsjahr 2022 eine Revision des Bereichs »Produktion RPL« durchgefuehrt. Auftrag gemaess Audit-Plan, freigegeben durch den Pruefungsausschuss des Aufsichtsrats (Vorsitz Prof. Dr.-Ing. Voss). Pruefungsleiter: Andreas Buehler (Chief Audit Executive). Methodik: risikoorientierte Pruefung gemaess IIA-Standards (International Standards for the Professional Practice of Internal Auditing) und IDW PS 320.</w:t>
      </w:r>
    </w:p>
    <w:p>
      <w:pPr>
        <w:pStyle w:val="Heading3"/>
      </w:pPr>
      <w:r>
        <w:t>Pruefungsumfang (Scope)</w:t>
      </w:r>
    </w:p>
    <w:p>
      <w:r>
        <w:t>Pruefung der EMS-/SMD-Produktion RPL Katowice (960 FTE) mit Fokus auf EMS-Linien-Effizienz, Personalstellen (HR-Buch), Energieeffizienz und Lieferantenanbindung.</w:t>
      </w:r>
    </w:p>
    <w:p>
      <w:pPr>
        <w:pStyle w:val="Heading3"/>
      </w:pPr>
      <w:r>
        <w:t>Pruefungsschwerpunkte</w:t>
      </w:r>
    </w:p>
    <w:p>
      <w:pPr>
        <w:pStyle w:val="ListBullet"/>
      </w:pPr>
      <w:r>
        <w:t>EMS-/SMD-Linien-Auslastung und OEE</w:t>
      </w:r>
    </w:p>
    <w:p>
      <w:pPr>
        <w:pStyle w:val="ListBullet"/>
      </w:pPr>
      <w:r>
        <w:t>Personalbuch und Arbeitszeitkonten (PL-Arbeitsrecht)</w:t>
      </w:r>
    </w:p>
    <w:p>
      <w:pPr>
        <w:pStyle w:val="ListBullet"/>
      </w:pPr>
      <w:r>
        <w:t>Energie- und Wasserkennzahlen (ISO 14001/50001)</w:t>
      </w:r>
    </w:p>
    <w:p>
      <w:pPr>
        <w:pStyle w:val="ListBullet"/>
      </w:pPr>
      <w:r>
        <w:t>Lieferanten-Lead-Time und Bestand (Days-on-Hand)</w:t>
      </w:r>
    </w:p>
    <w:p>
      <w:pPr>
        <w:pStyle w:val="ListBullet"/>
      </w:pPr>
      <w:r>
        <w:t>Tooling-Investition und Capex-Disziplin</w:t>
      </w:r>
    </w:p>
    <w:p>
      <w:pPr>
        <w:pStyle w:val="Heading3"/>
      </w:pPr>
      <w:r>
        <w:t>Wesentliche Feststellungen</w:t>
      </w:r>
    </w:p>
    <w:p>
      <w:r>
        <w:t>Zwei moderate Findings: (1) SMD-Linie 4 (BMS-12) mit OEE 81 % wegen Materialengpaessen JIT; (2) Days-on-Hand auf 38 Tage angestiegen (Ziel &lt;=28). Personalbuch IT-konform; Energie-KPI gut. Tooling-Capex-Disziplin angemessen.</w:t>
      </w:r>
    </w:p>
    <w:p>
      <w:pPr>
        <w:pStyle w:val="Heading3"/>
      </w:pPr>
      <w:r>
        <w:t>Empfehlungen und Massnahmen</w:t>
      </w:r>
    </w:p>
    <w:p>
      <w:pPr>
        <w:pStyle w:val="Heading4"/>
      </w:pPr>
      <w:r>
        <w:t>§ 1 Materialfluss BMS-12</w:t>
      </w:r>
    </w:p>
    <w:p>
      <w:r>
        <w:rPr>
          <w:b/>
        </w:rPr>
        <w:t xml:space="preserve">(1) </w:t>
      </w:r>
      <w:r>
        <w:t>Zweitlieferanten-Qualifizierung fuer kritische Komponenten; JIT-/JIS-Disziplin verbessern.</w:t>
      </w:r>
    </w:p>
    <w:p>
      <w:pPr>
        <w:pStyle w:val="Heading4"/>
      </w:pPr>
      <w:r>
        <w:t>§ 2 Bestandsmanagement</w:t>
      </w:r>
    </w:p>
    <w:p>
      <w:r>
        <w:rPr>
          <w:b/>
        </w:rPr>
        <w:t xml:space="preserve">(1) </w:t>
      </w:r>
      <w:r>
        <w:t>DOH-Reduktion durch ABC-/XYZ-Analyse; Kanban-Erweiterung; SAP IBP-Tool-Roll-out.</w:t>
      </w:r>
    </w:p>
    <w:p>
      <w:pPr>
        <w:pStyle w:val="Heading3"/>
      </w:pPr>
      <w:r>
        <w:t>Stellungnahme der Fachabteilung</w:t>
      </w:r>
    </w:p>
    <w:p>
      <w:r>
        <w:t>Die geprueften Bereiche haben die Feststellungen anerkannt und sich zur Umsetzung der Empfehlungen verpflichtet. Detaillierter Massnahmenplan im Tracking-Tool (Konzern-Revisions-Datenbank »Audit Hub«); Follow-up durch Konzernrevision binnen 6 Monaten.</w:t>
      </w:r>
    </w:p>
    <w:p>
      <w:pPr>
        <w:pStyle w:val="Heading3"/>
      </w:pPr>
      <w:r>
        <w:t>Gesamtbewertung</w:t>
      </w:r>
    </w:p>
    <w:p>
      <w:r>
        <w:t>Das interne Kontrollsystem im Bereich Produktion RPL wird insgesamt als »weitgehend angemessen« bewertet. Die identifizierten Findings sind als »minor« bzw. »moderate« einzustufen; keine wesentlichen Schwaechen (»significant deficiencies«) festgestellt.</w:t>
      </w:r>
    </w:p>
    <w:p>
      <w:pPr>
        <w:pStyle w:val="Heading3"/>
      </w:pPr>
      <w:r>
        <w:t>Verteiler</w:t>
      </w:r>
    </w:p>
    <w:p>
      <w:r>
        <w:t>Vorstand REA (CEO, CFO, COO, CTO), Compliance Officer Dr. Constanze Behrens, externer Wirtschaftspruefer KPMG (Dr. Brand) im Rahmen des Audit-Universe-Briefings, Pruefungsausschuss Aufsichtsrat.</w:t>
      </w:r>
    </w:p>
    <w:p>
      <w:pPr>
        <w:pStyle w:val="Heading3"/>
      </w:pPr>
      <w:r>
        <w:t>Unterschriften</w:t>
      </w:r>
    </w:p>
    <w:p>
      <w:r>
        <w:t>Ort, Datum: Stuttgart, den 15. November 2022</w:t>
      </w:r>
    </w:p>
    <w:p>
      <w:r>
        <w:t>_________________________            _________________________</w:t>
        <w:br/>
        <w:t>Andreas Buehler                          Bereichsverantwortliche/r</w:t>
        <w:br/>
        <w:t>Chief Audit Executive (CAE)                          Geprueft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