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Supply Chain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»Supply Chain«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Konzern-Supply-Chain-Funktion mit Fokus auf S&amp;OP-Disziplin, Lieferanten-Risiko-management, OTD-Kennzahlen, Sicherheitsbestaende und Liefer-Performance gegenueber OEMs.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S&amp;OP-Prozess und Forecast-Genauigkeit (MAPE)</w:t>
      </w:r>
    </w:p>
    <w:p>
      <w:pPr>
        <w:pStyle w:val="ListBullet"/>
      </w:pPr>
      <w:r>
        <w:t>Lieferanten-Risiko-Scoring (Tier-1/Tier-2)</w:t>
      </w:r>
    </w:p>
    <w:p>
      <w:pPr>
        <w:pStyle w:val="ListBullet"/>
      </w:pPr>
      <w:r>
        <w:t>On-Time-Delivery (OTD) gegenueber BMW, VW, MB, Stellantis, Hyundai</w:t>
      </w:r>
    </w:p>
    <w:p>
      <w:pPr>
        <w:pStyle w:val="ListBullet"/>
      </w:pPr>
      <w:r>
        <w:t>Sicherheitsbestaende kritischer Komponenten (Halbleiter, Magnetwerkstoffe)</w:t>
      </w:r>
    </w:p>
    <w:p>
      <w:pPr>
        <w:pStyle w:val="ListBullet"/>
      </w:pPr>
      <w:r>
        <w:t>Konventionalstrafen und Pönalen (Litigation-Schnittstelle)</w:t>
      </w:r>
    </w:p>
    <w:p>
      <w:pPr>
        <w:pStyle w:val="Heading3"/>
      </w:pPr>
      <w:r>
        <w:t>Wesentliche Feststellungen</w:t>
      </w:r>
    </w:p>
    <w:p>
      <w:r>
        <w:t>Zwei moderate und ein significant Finding: (1) MAPE 12-Monatsforecast &gt;25 % bei zwei Produkten (ICP-3 und LightCtrl-7) ueber Plan; (2) Lieferanten-Risiko-Scoring deckt 92 % des Tier-1-Volumens (Ziel &gt;=95 %); (3) OEM-Konventionalstrafe Stellantis Q3 in Hoehe 180 kEUR wegen verspaeteter Ramp-Up-Lieferung BMS-12 – Root-Cause-Analyse durchgefuehrt; Verfahren mit Stellantis abgeschlossen.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Forecast-Genauigkeit</w:t>
      </w:r>
    </w:p>
    <w:p>
      <w:r>
        <w:rPr>
          <w:b/>
        </w:rPr>
        <w:t xml:space="preserve">(1) </w:t>
      </w:r>
      <w:r>
        <w:t>Demand-Sensing-Tool-Pilot (o9 Solutions) fuer ICP-3 und LightCtrl-7; Trainings Sales/Demand-Planner.</w:t>
      </w:r>
    </w:p>
    <w:p>
      <w:pPr>
        <w:pStyle w:val="Heading4"/>
      </w:pPr>
      <w:r>
        <w:t>§ 2 Risiko-Coverage Tier-1</w:t>
      </w:r>
    </w:p>
    <w:p>
      <w:r>
        <w:rPr>
          <w:b/>
        </w:rPr>
        <w:t xml:space="preserve">(1) </w:t>
      </w:r>
      <w:r>
        <w:t>Resilinc-Onboarding fuer fehlende 3 % Lieferanten; quartalsweises Update an SC-Leitung.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Supply Chain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