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Kartellrecht-Compliance-Handbuch der Brennhagen-Gruppe</w:t>
      </w:r>
    </w:p>
    <w:p>
      <w:pPr>
        <w:jc w:val="center"/>
      </w:pPr>
      <w:r>
        <w:t>Konzernrichtlinie – Version 4.1</w:t>
      </w:r>
    </w:p>
    <w:p/>
    <w:p>
      <w:pPr>
        <w:pStyle w:val="Heading3"/>
      </w:pPr>
      <w:r>
        <w:t>Praeambel</w:t>
      </w:r>
    </w:p>
    <w:p>
      <w:r>
        <w:t>Die Brennhagen Elektronik AG (»Gesellschaft«) verpflichtet sich zur Einhaltung saemtlicher gesetzlichen Bestimmungen sowie zu hoechsten ethischen Standards. Diese Richtlinie (Kartellrecht-Compliance-Handbuch der Brennhagen-Gruppe) konkretisiert die im Code of Conduct verankerten Grundsaetze fuer alle Mitarbeitenden, Fuehrungskraefte sowie Organmitglieder der Brennhagen-Gruppe weltweit.</w:t>
      </w:r>
    </w:p>
    <w:p>
      <w:pPr>
        <w:pStyle w:val="Heading3"/>
      </w:pPr>
      <w:r>
        <w:t>Geltungsbereich</w:t>
      </w:r>
    </w:p>
    <w:p>
      <w:r>
        <w:t>Geltung fuer alle Mitarbeitenden mit Kontakt zu Wettbewerbern, Lieferanten, Kunden, OEMs oder Branchenverbaenden – insbesondere Vertrieb, Einkauf, Strategie, Vorstand, Management, Aussendienst sowie alle Tochtergesellschaften der Brennhagen-Gruppe weltweit.</w:t>
      </w:r>
    </w:p>
    <w:p>
      <w:pPr>
        <w:pStyle w:val="Heading3"/>
      </w:pPr>
      <w:r>
        <w:t>Geschuetzte Rechtsgueter und Grundlagen</w:t>
      </w:r>
    </w:p>
    <w:p>
      <w:pPr>
        <w:pStyle w:val="ListBullet"/>
      </w:pPr>
      <w:r>
        <w:t>Art. 101, 102 AEUV (Kartellverbot, Marktmachtmissbrauch)</w:t>
      </w:r>
    </w:p>
    <w:p>
      <w:pPr>
        <w:pStyle w:val="ListBullet"/>
      </w:pPr>
      <w:r>
        <w:t>§§ 1, 19, 20 GWB (Gesetz gegen Wettbewerbsbeschraenkungen)</w:t>
      </w:r>
    </w:p>
    <w:p>
      <w:pPr>
        <w:pStyle w:val="ListBullet"/>
      </w:pPr>
      <w:r>
        <w:t>EU-VerticalBER 2022/720 (Vertikalvereinbarungen, Preisbindungsverbot)</w:t>
      </w:r>
    </w:p>
    <w:p>
      <w:pPr>
        <w:pStyle w:val="ListBullet"/>
      </w:pPr>
      <w:r>
        <w:t>EU-Horizontalleitlinien 2023 (Informationsaustausch, Forschungs-/Spezialisierungs-Kooperationen)</w:t>
      </w:r>
    </w:p>
    <w:p>
      <w:pPr>
        <w:pStyle w:val="ListBullet"/>
      </w:pPr>
      <w:r>
        <w:t>US Sherman Act / Clayton Act – soweit Verkaeufe in die USA</w:t>
      </w:r>
    </w:p>
    <w:p>
      <w:pPr>
        <w:pStyle w:val="ListBullet"/>
      </w:pPr>
      <w:r>
        <w:t>Branchen-typische Risiken im Automobil-Zulieferer-Geschaeft (Tier-1-Auftragsvergaben, OEM-Konsortien)</w:t>
      </w:r>
    </w:p>
    <w:p>
      <w:pPr>
        <w:pStyle w:val="Heading3"/>
      </w:pPr>
      <w:r>
        <w:t>Verbindliche Regelungen</w:t>
      </w:r>
    </w:p>
    <w:p>
      <w:pPr>
        <w:pStyle w:val="Heading4"/>
      </w:pPr>
      <w:r>
        <w:t>§ 1 Hard-Core-Kartellverbote</w:t>
      </w:r>
    </w:p>
    <w:p>
      <w:r>
        <w:rPr>
          <w:b/>
        </w:rPr>
        <w:t xml:space="preserve">(1) </w:t>
      </w:r>
      <w:r>
        <w:t>Untersagt sind insbesondere Preisabsprachen, Marktaufteilung, Quotenabsprachen, Submissionsabsprachen (Bid Rigging) und der Austausch wettbewerbssensitiver Informationen (Preise, Mengen, Kosten, Strategien, Kapazitaeten, Margen) mit Wettbewerbern – auch indirekt ueber Verbaende oder Hub-and-Spoke-Konstellationen ueber gemeinsame Lieferanten/Kunden.</w:t>
      </w:r>
    </w:p>
    <w:p>
      <w:r>
        <w:rPr>
          <w:b/>
        </w:rPr>
        <w:t xml:space="preserve">(2) </w:t>
      </w:r>
      <w:r>
        <w:t>Selbst informelle Gespraeche (Stammtisch, Messe, Fahrgemeinschaft) sind risikobehaftet. Bei kartellrechtssensitiven Themen ist sofort der Raum zu verlassen und der Vorgang an Compliance zu melden (»Leave &amp; Document«-Regel).</w:t>
      </w:r>
    </w:p>
    <w:p>
      <w:pPr>
        <w:pStyle w:val="Heading4"/>
      </w:pPr>
      <w:r>
        <w:t>§ 2 Branchenverbaende, Working Groups</w:t>
      </w:r>
    </w:p>
    <w:p>
      <w:r>
        <w:rPr>
          <w:b/>
        </w:rPr>
        <w:t xml:space="preserve">(1) </w:t>
      </w:r>
      <w:r>
        <w:t>Teilnahme an Branchen-Working-Groups (VDA, ZVEI, CLEPA) nur mit Tagesordnung, Anwesenheitsliste und Protokoll; vorab Anti-Trust-Briefing der Compliance-Funktion. Bei Themen ausserhalb der Tagesordnung ist die Sitzung zu verlassen.</w:t>
      </w:r>
    </w:p>
    <w:p>
      <w:r>
        <w:rPr>
          <w:b/>
        </w:rPr>
        <w:t xml:space="preserve">(2) </w:t>
      </w:r>
      <w:r>
        <w:t>Benchmarking-Studien nur ueber unabhaengige Treuhaender/Beratungen (z. B. Roland Berger), Daten anonymisiert und mit ausreichendem zeitlichen Abstand (&gt;=12 Monate alt).</w:t>
      </w:r>
    </w:p>
    <w:p>
      <w:pPr>
        <w:pStyle w:val="Heading4"/>
      </w:pPr>
      <w:r>
        <w:t>§ 3 Vertikale Beziehungen</w:t>
      </w:r>
    </w:p>
    <w:p>
      <w:r>
        <w:rPr>
          <w:b/>
        </w:rPr>
        <w:t xml:space="preserve">(1) </w:t>
      </w:r>
      <w:r>
        <w:t>Keine Preisbindung der zweiten Hand gegenueber Distributoren/Aftermarket; unverbindliche Preisempfehlungen (UVP) sind zulaessig, sofern keine Druckmittel.</w:t>
      </w:r>
    </w:p>
    <w:p>
      <w:r>
        <w:rPr>
          <w:b/>
        </w:rPr>
        <w:t xml:space="preserve">(2) </w:t>
      </w:r>
      <w:r>
        <w:t>Gebietsbeschraenkungen und Kundenbeschraenkungen nur im Rahmen der VerticalBER 2022/720 (Marktanteil &lt;= 30 %, keine Kernbeschraenkungen).</w:t>
      </w:r>
    </w:p>
    <w:p>
      <w:pPr>
        <w:pStyle w:val="Heading4"/>
      </w:pPr>
      <w:r>
        <w:t>§ 4 Marktbeherrschende Stellung / Mono-Source</w:t>
      </w:r>
    </w:p>
    <w:p>
      <w:r>
        <w:rPr>
          <w:b/>
        </w:rPr>
        <w:t xml:space="preserve">(1) </w:t>
      </w:r>
      <w:r>
        <w:t>In ICP-3 / BMS-12 / ADAS-V4D-Maerkten Pruefung jeweils projektbezogen, ob marktbeherrschende Stellung gemaess § 18 GWB. Falls ja, Diskriminierungs- und Behinderungsverbot beachten (insb. Preisspreizungen, Lieferverweigerung gegenueber bestehenden OEM-Kunden).</w:t>
      </w:r>
    </w:p>
    <w:p>
      <w:r>
        <w:rPr>
          <w:b/>
        </w:rPr>
        <w:t xml:space="preserve">(2) </w:t>
      </w:r>
      <w:r>
        <w:t>Vertraege mit Single-Source-Klauseln/Exclusivity bedurfen Compliance-Freigabe.</w:t>
      </w:r>
    </w:p>
    <w:p>
      <w:pPr>
        <w:pStyle w:val="Heading4"/>
      </w:pPr>
      <w:r>
        <w:t>§ 5 Dawn Raid / Durchsuchung</w:t>
      </w:r>
    </w:p>
    <w:p>
      <w:r>
        <w:rPr>
          <w:b/>
        </w:rPr>
        <w:t>(1) Bei unangekuendigter Durchsuchung durch Kartellbehoerden (BKartA, EU-KOM, BMAVL) gilt die Dawn-Raid-SOP der Brennhagen-Gruppe: Compliance- und Notfall-Hotline Hengeler Mueller (+49 69 17095-100, Partner Dr. Hans-Juergen Stollberg) sofort verstaendigen; Durchsuchungsbeschluss kopieren, Anwesenheit von Anwaelten abwarten (Recht auf Beistand), keine Datentraeger vernichten, keine Aussagen ohne Anwalt.</w:t>
      </w:r>
      <w:r/>
    </w:p>
    <w:p>
      <w:r>
        <w:rPr>
          <w:b/>
        </w:rPr>
        <w:t xml:space="preserve">(2) </w:t>
      </w:r>
      <w:r>
        <w:t>Dawn-Raid-Trainings jaehrlich fuer Vorstand, GL der Tochtergesellschaften, Werkleiter, Vertriebs- und Einkaufsleitung.</w:t>
      </w:r>
    </w:p>
    <w:p>
      <w:pPr>
        <w:pStyle w:val="Heading3"/>
      </w:pPr>
      <w:r>
        <w:t>Ueberwachung, Schulung und Reporting</w:t>
      </w:r>
    </w:p>
    <w:p>
      <w:r>
        <w:t>Verpflichtende Schulungen: »Antitrust Compliance Basics« (alle), »Advanced Antitrust« (Vertrieb/Einkauf), jeweils im LMS »Brennhagen Learn« durch SuccessFactors. Halbjaehrliche Compliance-Bulletins. Kartellrechts-Hotline und »Speak-Up«-Hinweisgebersystem. Internes Audit-Programm durch Konzernrevision unter Leitung von Andreas Buehler; externe ABC-Audits jaehrlich durch Hengeler Mueller (Lead Dr. Hans-Juergen Stollberg).</w:t>
      </w:r>
    </w:p>
    <w:p>
      <w:pPr>
        <w:pStyle w:val="Heading3"/>
      </w:pPr>
      <w:r>
        <w:t>Verstoesse, Sanktionen und Hinweisgebersystem</w:t>
      </w:r>
    </w:p>
    <w:p>
      <w:r>
        <w:t>Verstoesse gegen diese Richtlinie werden konsequent verfolgt. Bei kartellrechtswidrigem Verhalten drohen empfindliche Bussgelder (bis 10 % des Konzern-Umsatzes), zivilrechtliche Schadensersatzansprueche (Follow-On) sowie Reputationsschaeden. Brennhagen nimmt am EU-Kronzeugen-Programm teil, sofern relevant. Hinweise koennen jederzeit ueber das konzernweite Hinweisgebersystem »SPEAK-UP@Brennhagen« (betrieben durch EQS Group AG, anonym moeglich) oder ueber den externen Ombudsmann Dr. Wolfgang Stahl (Stahl &amp; Kollegen, Hamburg) gemeldet werden. Schutz vor Repressalien gemaess Hinweisgeberschutzgesetz (HinSchG) ist gewaehrleistet.</w:t>
      </w:r>
    </w:p>
    <w:p>
      <w:pPr>
        <w:pStyle w:val="Heading3"/>
      </w:pPr>
      <w:r>
        <w:t>Inkrafttreten / Versionierung</w:t>
      </w:r>
    </w:p>
    <w:p>
      <w:r>
        <w:t>Diese Richtlinie tritt am 1. April 2023 in Kraft (Version 4.1) und ersetzt alle frueheren Fassungen. Die Pflege obliegt der Compliance-Funktion (Dr. Constanze Behrens, extern, Hengeler Mueller). Die naechste turnusmaessige Ueberpruefung erfolgt spaetestens 24 Monate nach Inkrafttreten.</w:t>
      </w:r>
    </w:p>
    <w:p>
      <w:pPr>
        <w:pStyle w:val="Heading3"/>
      </w:pPr>
      <w:r>
        <w:t>Unterschriften</w:t>
      </w:r>
    </w:p>
    <w:p>
      <w:r>
        <w:t>Ort, Datum: Stuttgart, den 1. April 2023</w:t>
      </w:r>
    </w:p>
    <w:p>
      <w:r>
        <w:t>_________________________            _________________________</w:t>
        <w:br/>
        <w:t>Anna Mueller                          Dr. Constanze Behrens</w:t>
        <w:br/>
        <w:t>Vorstandsvorsitzende (CEO)                          Compliance Officer (extern)</w:t>
        <w:br/>
        <w:t>Brennhagen Elektronik AG                       Hengeler Mueller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