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LkSG-Sorgfaltspflichtenbericht 2023 der Brennhagen Elektronik AG</w:t>
      </w:r>
    </w:p>
    <w:p>
      <w:pPr>
        <w:jc w:val="center"/>
      </w:pPr>
      <w:r>
        <w:t>Berichtsjahr 2023 – gemaess § 10 LkSG</w:t>
      </w:r>
    </w:p>
    <w:p/>
    <w:p>
      <w:pPr>
        <w:pStyle w:val="Heading3"/>
      </w:pPr>
      <w:r>
        <w:t>Einleitung</w:t>
      </w:r>
    </w:p>
    <w:p>
      <w:r>
        <w:t>Die Brennhagen Elektronik AG ist seit dem 1. Januar 2024 als Unternehmen mit mehr als 1.000 Beschaeftigten im Inland berichtspflichtig nach dem Gesetz ueber die unternehmerischen Sorgfaltspflichten in Lieferketten (Lieferkettensorgfaltspflichtengesetz – LkSG). Diese Risiko- und Sorgfaltspflichten-Erklaerung deckt das Geschaeftsjahr 2023 ab und wird gemaess § 10 Abs. 2 LkSG bis spaetestens vier Monate nach Ende des Berichtsjahres beim Bundesamt fuer Wirtschaft und Ausfuhrkontrolle (BAFA) eingereicht. Verantwortlich: Chief Sustainability Officer (CSO) Stefan Koehler (LkSG-Beauftragter); Compliance-Funktion Dr. Constanze Behrens (Hengeler Mueller).</w:t>
      </w:r>
    </w:p>
    <w:p>
      <w:pPr>
        <w:pStyle w:val="Heading3"/>
      </w:pPr>
      <w:r>
        <w:t>Geltungsbereich</w:t>
      </w:r>
    </w:p>
    <w:p>
      <w:r>
        <w:t>Eigener Geschaeftsbereich (Konzern Brennhagen: REA, RHO, REG, RSG, RPL, RCZ, RHU, RCN) sowie unmittelbare Lieferanten (Tier-1). Mittelbare Lieferanten (Tier-2+) anlassbezogen bei substantiierter Kenntnis (»substantiated knowledge«) gemaess § 9 Abs. 3 LkSG.</w:t>
      </w:r>
    </w:p>
    <w:p>
      <w:pPr>
        <w:pStyle w:val="Heading3"/>
      </w:pPr>
      <w:r>
        <w:t>Risikoanalyse – Schwerpunkte des Berichtsjahrs</w:t>
      </w:r>
    </w:p>
    <w:p>
      <w:pPr>
        <w:pStyle w:val="ListBullet"/>
      </w:pPr>
      <w:r>
        <w:t>Eigener Geschaeftsbereich – Arbeitsschutz Werke REG/RPL/RCZ/RHU (geringes Risiko, IATF/ISO-zertifiziert)</w:t>
      </w:r>
    </w:p>
    <w:p>
      <w:pPr>
        <w:pStyle w:val="ListBullet"/>
      </w:pPr>
      <w:r>
        <w:t>Tier-1-Lieferanten – Cobalt/Lithium/Coltan-haltige Komponenten (BMS-12, ADAS-V4D) – mittleres Risiko</w:t>
      </w:r>
    </w:p>
    <w:p>
      <w:pPr>
        <w:pStyle w:val="ListBullet"/>
      </w:pPr>
      <w:r>
        <w:t>Tier-1-Lieferanten – Schaltschraenke und Gehaeuse aus Tuerkei (Kinderarbeit-Risiko mittel)</w:t>
      </w:r>
    </w:p>
    <w:p>
      <w:pPr>
        <w:pStyle w:val="ListBullet"/>
      </w:pPr>
      <w:r>
        <w:t>Tier-1-Lieferanten – Leiterplatten-Hersteller China/Vietnam (Arbeitszeitenrisiko mittel)</w:t>
      </w:r>
    </w:p>
    <w:p>
      <w:pPr>
        <w:pStyle w:val="ListBullet"/>
      </w:pPr>
      <w:r>
        <w:t>Logistik – Hafen-Subdienstleister in Bremerhaven/Antwerpen (Arbeitsschutz, Loehne)</w:t>
      </w:r>
    </w:p>
    <w:p>
      <w:pPr>
        <w:pStyle w:val="ListBullet"/>
      </w:pPr>
      <w:r>
        <w:t>Mittelbare Lieferanten Tier-2: Mining/Smelter-Risiken Cobalt/Tantal (RMI/CMRT-Reporting)</w:t>
      </w:r>
    </w:p>
    <w:p>
      <w:pPr>
        <w:pStyle w:val="Heading3"/>
      </w:pPr>
      <w:r>
        <w:t>Praeventions- und Abhilfemassnahmen</w:t>
      </w:r>
    </w:p>
    <w:p>
      <w:pPr>
        <w:pStyle w:val="Heading4"/>
      </w:pPr>
      <w:r>
        <w:t>§ 1 Lieferanten-Onboarding und KYC</w:t>
      </w:r>
    </w:p>
    <w:p>
      <w:r>
        <w:rPr>
          <w:b/>
        </w:rPr>
        <w:t xml:space="preserve">(1) </w:t>
      </w:r>
      <w:r>
        <w:t>Verpflichtende Akzeptanz des Code-of-Conduct-fuer-Geschaeftspartner (CoC GP); Compliance-Klausel in allen Rahmenliefervertraegen seit 2022 ueberarbeitet (LkSG-konform).</w:t>
      </w:r>
    </w:p>
    <w:p>
      <w:r>
        <w:rPr>
          <w:b/>
        </w:rPr>
        <w:t xml:space="preserve">(2) </w:t>
      </w:r>
      <w:r>
        <w:t>KYC-Pruefung mit ComplyCube fuer Tier-2-Lieferanten in CN/IN/TR (Sanktionslisten, PEP, negative Medien); Re-Screening jaehrlich.</w:t>
      </w:r>
    </w:p>
    <w:p>
      <w:pPr>
        <w:pStyle w:val="Heading4"/>
      </w:pPr>
      <w:r>
        <w:t>§ 2 Audits und Self-Assessments</w:t>
      </w:r>
    </w:p>
    <w:p>
      <w:r>
        <w:rPr>
          <w:b/>
        </w:rPr>
        <w:t xml:space="preserve">(1) </w:t>
      </w:r>
      <w:r>
        <w:t>EcoVadis-Self-Assessment fuer Top-200-Lieferanten (Coverage 87 % nach Beschaffungsvolumen).</w:t>
      </w:r>
    </w:p>
    <w:p>
      <w:r>
        <w:rPr>
          <w:b/>
        </w:rPr>
        <w:t xml:space="preserve">(2) </w:t>
      </w:r>
      <w:r>
        <w:t>Vor-Ort-Audits durch SGS/Intertek bei 18 Lieferanten in 2023 (CN: 8, TR: 4, IN: 3, EE/PL: 3); 5 Major-Findings, alle durch CAP geschlossen bis Q1/2024.</w:t>
      </w:r>
    </w:p>
    <w:p>
      <w:pPr>
        <w:pStyle w:val="Heading4"/>
      </w:pPr>
      <w:r>
        <w:t>§ 3 Abhilfemassnahmen</w:t>
      </w:r>
    </w:p>
    <w:p>
      <w:r>
        <w:rPr>
          <w:b/>
        </w:rPr>
        <w:t xml:space="preserve">(1) </w:t>
      </w:r>
      <w:r>
        <w:t>Bei 2 chinesischen PCB-Lieferanten Korrekturmassnahmen Arbeitszeit/Ueberstunden vereinbart; Monitoring 6 Monate. Kein Lieferantenabbruch erforderlich, da Verbesserung erkennbar.</w:t>
      </w:r>
    </w:p>
    <w:p>
      <w:r>
        <w:rPr>
          <w:b/>
        </w:rPr>
        <w:t xml:space="preserve">(2) </w:t>
      </w:r>
      <w:r>
        <w:t>Bei 1 tuerkischem Gehaeuse-Lieferanten Beendigung der Geschaeftsbeziehung Q3/2023 nach wiederholten Findings (Arbeitsschutz, Mindestlohn).</w:t>
      </w:r>
    </w:p>
    <w:p>
      <w:pPr>
        <w:pStyle w:val="Heading4"/>
      </w:pPr>
      <w:r>
        <w:t>§ 4 Schulungen und Awareness</w:t>
      </w:r>
    </w:p>
    <w:p>
      <w:r>
        <w:rPr>
          <w:b/>
        </w:rPr>
        <w:t xml:space="preserve">(1) </w:t>
      </w:r>
      <w:r>
        <w:t>Pflicht-E-Learning »LkSG fuer Einkauf &amp; Lieferantenmanagement« 2023 (Coverage 96 %).</w:t>
      </w:r>
    </w:p>
    <w:p>
      <w:r>
        <w:rPr>
          <w:b/>
        </w:rPr>
        <w:t>(2) Top-Management-Briefing durch Hengeler Mueller (Partner Dr. Hans-Juergen Stollberg) in Q2/2023.</w:t>
      </w:r>
      <w:r/>
    </w:p>
    <w:p>
      <w:pPr>
        <w:pStyle w:val="Heading3"/>
      </w:pPr>
      <w:r>
        <w:t>Beschwerdeverfahren / Hinweise</w:t>
      </w:r>
    </w:p>
    <w:p>
      <w:r>
        <w:t>Hinweisgebersystem »SPEAK-UP@Brennhagen« (EQS Group AG) sowie externer Ombudsmann Dr. Wolfgang Stahl (Stahl &amp; Kollegen Hamburg). Im Berichtsjahr 2023 eingegangene Hinweise: 3 Hinweise (alle ueber SPEAK-UP), davon 2 zu Arbeitszeiten Tier-1-CN-Lieferanten, 1 zu Lohnzahlung Tier-1-Tuerkei. Alle ordnungsgemaess untersucht und geschlossen.. Auswertung und Statistik: Bearbeitungszeit durchschnittlich 42 Tage; 100 % anonym moeglich; externer Ombudsmann genutzt in 1 Fall.</w:t>
      </w:r>
    </w:p>
    <w:p>
      <w:pPr>
        <w:pStyle w:val="Heading3"/>
      </w:pPr>
      <w:r>
        <w:t>Berichterstattung &amp; Wirksamkeitspruefung</w:t>
      </w:r>
    </w:p>
    <w:p>
      <w:r>
        <w:t>Wirksamkeitspruefung der Massnahmen jaehrlich sowie anlassbezogen. Berichterstattung gegenueber Vorstand (quartalsweise), Aufsichtsrat (jaehrlich, Pruefungsausschuss) und BAFA (jaehrlich). Externe Pruefung der LkSG-Berichterstattung 2024 erstmalig durch KPMG AG WPG (begrenzte Pruefung) im Rahmen des Nachhaltigkeitsberichts (CSRD/ESRS-konform geplant ab 2025).</w:t>
      </w:r>
    </w:p>
    <w:p>
      <w:pPr>
        <w:pStyle w:val="Heading3"/>
      </w:pPr>
      <w:r>
        <w:t>Erklaerung des Vorstands</w:t>
      </w:r>
    </w:p>
    <w:p>
      <w:r>
        <w:t>Der Vorstand der Brennhagen Elektronik AG bestaetigt die Richtigkeit und Vollstaendigkeit dieser Erklaerung sowie die Einhaltung der menschenrechts- und umweltbezogenen Sorgfaltspflichten gemaess §§ 3-10 LkSG nach bestem Wissen und Gewissen. Stuttgart, den 30. April 2024.</w:t>
      </w:r>
    </w:p>
    <w:p>
      <w:pPr>
        <w:pStyle w:val="Heading3"/>
      </w:pPr>
      <w:r>
        <w:t>Unterschriften</w:t>
      </w:r>
    </w:p>
    <w:p>
      <w:r>
        <w:t>Ort, Datum: Stuttgart, den 30. April 2024</w:t>
      </w:r>
    </w:p>
    <w:p>
      <w:r>
        <w:t>_________________________            _________________________</w:t>
        <w:br/>
        <w:t>Anna Mueller                          Stefan Koehler</w:t>
        <w:br/>
        <w:t>CEO / Vorstandsvorsitzende                          Chief Sustainability Officer / LkSG-Beauftragter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