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Rechtsgutachten – Erwerb der spaeteren Brennhagen CZ s.r.o. (Asset-Deal vs. Share-Deal)</w:t>
      </w:r>
    </w:p>
    <w:p>
      <w:pPr>
        <w:jc w:val="center"/>
      </w:pPr>
      <w:r>
        <w:t>Rechtsgutachten – 15. September 2018</w:t>
      </w:r>
    </w:p>
    <w:p/>
    <w:p>
      <w:pPr>
        <w:pStyle w:val="Heading3"/>
      </w:pPr>
      <w:r>
        <w:t>Anlass und Auftrag</w:t>
      </w:r>
    </w:p>
    <w:p>
      <w:r>
        <w:t>Mandant: Brennhagen Elektronik AG, vertreten durch den Vorstand. Gutachterauftrag: Pruefung der gesellschafts-, steuer- und kartellrechtlichen Aspekte des geplanten Erwerbs der ElektroCZ s.r.o. (Brno) im Wege eines Share-Deals zur Errichtung der Brennhagen CZ s.r.o. (Steckverbinder-Produktion).</w:t>
      </w:r>
    </w:p>
    <w:p>
      <w:r>
        <w:t>Beauftragte Kanzlei: Hengeler Mueller Partnerschaft mbB. Federfuehrender Partner: Dr. Hans-Juergen Stollberg. Vergutung: Stundensatz Partner 750 EUR, Senior Associate 480 EUR (gem. Mandatsvereinbarung).</w:t>
      </w:r>
    </w:p>
    <w:p>
      <w:pPr>
        <w:pStyle w:val="Heading3"/>
      </w:pPr>
      <w:r>
        <w:t>Sachverhalt</w:t>
      </w:r>
    </w:p>
    <w:p>
      <w:r>
        <w:t>Brennhagen Holding GmbH (RHO) erwirbt 100 % der Geschaeftsanteile der ElektroCZ s.r.o., Brno, von der tschechischen Verkaeufer-Familie zum Kaufpreis von 18,5 Mio. EUR (Multiple ~7x EBITDA 2017). Die Zielgesellschaft beschaeftigt 480 MA, produziert Steckverbinder fuer Tier-1- und Aftermarket-Kunden. Closing geplant fuer Q4 2018.</w:t>
      </w:r>
    </w:p>
    <w:p>
      <w:pPr>
        <w:pStyle w:val="Heading3"/>
      </w:pPr>
      <w:r>
        <w:t>Rechtliche Analyse</w:t>
      </w:r>
    </w:p>
    <w:p>
      <w:r>
        <w:t>Share-Deal vorzugswuerdig: (1) tschechische Privatisierungs-Rueckabwicklungs-Risiken bei Asset-Deal (Grundstuecks-Restitution); (2) Steueroptimierung (Beteiligungsbuchwert, ggf. Step-Up nicht moeglich, aber Verlustvortraege EUR 1,2 Mio bleiben erhalten); (3) Arbeitnehmer-Uebergang automatisch (vermeidet § 613a-Analogie tschechisch); (4) Lieferanten-/Kundenvertraege bestehen fort (kein Change-of-Control in den wesentlichen Vertraegen). Kartellrechtlich: keine Anmeldepflicht (Schwellen UOHS nicht erreicht; auch FKVO Schwellen nicht). Steuerlich: §§ 8b KStG-Schachtelprivileg auf Ausschuettungen anwendbar; Aufstockungsgewinn bei Share-Deal nur bei Anteilsveraeusserung, daher Plan: Strukturierung als Dauer-Holding-Tochter.</w:t>
      </w:r>
    </w:p>
    <w:p>
      <w:pPr>
        <w:pStyle w:val="Heading3"/>
      </w:pPr>
      <w:r>
        <w:t>Ergebnis und Empfehlung</w:t>
      </w:r>
    </w:p>
    <w:p>
      <w:r>
        <w:t>Empfehlung Share-Deal. SPA-Verhandlung mit Standard-Garantien (Title/Capacity, Tax, Compliance, Employment, Litigation, IP, Environment), Cap 30 % Kaufpreis, Survival 18/36 Monate. Escrow 10 % fuer 18 Monate. Closing-Bedingungen: kartellrechtl. Unbedenklichkeit nicht erforderlich; Aufsichtsrat-Zustimmung RHO erforderlich (§ 13 Satzung Holding). W&amp;I-Versicherung empfohlen (Cap 9,25 Mio.); Brennhagen hat Versicherung bei Allianz GCS abgeschlossen.</w:t>
      </w:r>
    </w:p>
    <w:p>
      <w:pPr>
        <w:pStyle w:val="Heading3"/>
      </w:pPr>
      <w:r>
        <w:t>Vorbehalte / Disclaimer</w:t>
      </w:r>
    </w:p>
    <w:p>
      <w:r>
        <w:t>Dieses Gutachten beruht auf den uns vorgelegten Unterlagen sowie auf der zum Zeitpunkt der Erstellung geltenden Rechts- und Verwaltungspraxis. Eine Aenderung der zugrundeliegenden Tatsachen oder der Rechtslage kann zu einer abweichenden Beurteilung fuehren. Das Gutachten ist ausschliesslich fuer den internen Gebrauch der Mandantin bestimmt; Weitergabe an Dritte (insb. Wirtschaftspruefer, Behoerden) nur nach gesonderter Freigabe.</w:t>
      </w:r>
    </w:p>
    <w:p>
      <w:pPr>
        <w:pStyle w:val="Heading3"/>
      </w:pPr>
      <w:r>
        <w:t>Schlussbestaetigung</w:t>
      </w:r>
    </w:p>
    <w:p>
      <w:r>
        <w:t>Stuttgart/Frankfurt, den 15. September 2018</w:t>
      </w:r>
    </w:p>
    <w:p>
      <w:r>
        <w:t>Dr. Hans-Juergen Stollberg, Partner, Hengeler Mueller Partnerschaft mbB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