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Rechtsgutachten – Verrechnungspreiskonformer Zinssatz fuer Konzern-Darlehen RHO an Tochtergesellschaften</w:t>
      </w:r>
    </w:p>
    <w:p>
      <w:pPr>
        <w:jc w:val="center"/>
      </w:pPr>
      <w:r>
        <w:t>Rechtsgutachten – 14. November 2022</w:t>
      </w:r>
    </w:p>
    <w:p/>
    <w:p>
      <w:pPr>
        <w:pStyle w:val="Heading3"/>
      </w:pPr>
      <w:r>
        <w:t>Anlass und Auftrag</w:t>
      </w:r>
    </w:p>
    <w:p>
      <w:r>
        <w:t>Mandant: Brennhagen Elektronik AG, vertreten durch den Vorstand. Gutachterauftrag: Beurteilung der Verrechnungspreis- und Steuerrechtsrisiken eines Konzerninterner Darlehensvergabe von RHO an REG, RSG, RPL, RCZ, RHU und RCN in Hoehe von insgesamt 80 Mio. EUR; insbesondere Zinssatz nach OECD-TPG-Kapitel X (Financial Transactions), §§ 1, 1a AStG und BMF-Verwaltungsgrundsaetze 2021/2023.</w:t>
      </w:r>
    </w:p>
    <w:p>
      <w:r>
        <w:t>Beauftragte Kanzlei: Hengeler Mueller Partnerschaft mbB. Federfuehrender Partner: Dr. Sebastian Wallisch. Vergutung: Stundensatz Partner 750 EUR, Senior Associate 480 EUR (gem. Mandatsvereinbarung).</w:t>
      </w:r>
    </w:p>
    <w:p>
      <w:pPr>
        <w:pStyle w:val="Heading3"/>
      </w:pPr>
      <w:r>
        <w:t>Sachverhalt</w:t>
      </w:r>
    </w:p>
    <w:p>
      <w:r>
        <w:t>RHO Brennhagen Holding GmbH vergibt seit 2018 Konzerndarlehen an die operativen Toechter (Refinanzierungssaetze ueber das Konsortialkredit-RCF 2022). Die Pruefung gemaess BP-2018-2021 (Finanzamt Stuttgart-Mitte) befindet sich in der Schlussbesprechung mit Diskussionspunkt Stand-alone-Rating der Toechter und Implicit-Support-Argument. Konzern beabsichtigt eine APA-Anfrage Bundeszentralamt fuer Steuern (BZSt) fuer die Jahre 2023-2027.</w:t>
      </w:r>
    </w:p>
    <w:p>
      <w:pPr>
        <w:pStyle w:val="Heading3"/>
      </w:pPr>
      <w:r>
        <w:t>Rechtliche Analyse</w:t>
      </w:r>
    </w:p>
    <w:p>
      <w:r>
        <w:t>Massgeblich ist § 1 AStG (Fremdvergleichsgrundsatz) i. V. m. OECD-TPG 2022 Kap. X. Der Zinssatz ist nach Stand-alone-Rating der Schuldnergesellschaft zu bestimmen (Synthetic-Rating-Methode S&amp;P/Moody's), gegebenenfalls mit Notch-Up fuer »Implicit Support« (OECD 10.92 ff.; BFH-Urteil v. 18.5.2021 I R 4/17 – »Konzern-Garantenhaftung«). Margenaufschlag auf risikofreien Basis-Zinssatz (EURIBOR + Spread). Anwendung pro Tochtergesellschaft: REG/RSG (BBB-Rating Synthetic, +1 Notch Implicit) – Margenaufschlag 150 bp; RPL/RCZ/RHU (BB+/BB Rating Synthetic, +1 Notch) – 220 bp; RCN (BB- Synthetic) – 300 bp.</w:t>
      </w:r>
    </w:p>
    <w:p>
      <w:pPr>
        <w:pStyle w:val="Heading3"/>
      </w:pPr>
      <w:r>
        <w:t>Ergebnis und Empfehlung</w:t>
      </w:r>
    </w:p>
    <w:p>
      <w:r>
        <w:t>Empfehlung: Anwendung der gestaffelten Margen wie oben. Vorbereitung einer Verrechnungspreis-Local-File (Stand-alone-Rating, Comparables-Studie, Implicit-Support-Memo). Empfehlung APA-Antrag BZSt fuer 2023-2027 zur Rechtssicherheit (gegenseitiger Verstaendigungsweg DE/PL/CZ/HU/CN). Risiko BP-Mehrsteuer 2018-2021 geschaetzt 1,8-2,4 Mio. EUR (Brennhagen hat hierfuer Rueckstellung in IFRS-Konzernabschluss 2022 gebildet).</w:t>
      </w:r>
    </w:p>
    <w:p>
      <w:pPr>
        <w:pStyle w:val="Heading3"/>
      </w:pPr>
      <w:r>
        <w:t>Vorbehalte / Disclaimer</w:t>
      </w:r>
    </w:p>
    <w:p>
      <w:r>
        <w:t>Dieses Gutachten beruht auf den uns vorgelegten Unterlagen sowie auf der zum Zeitpunkt der Erstellung geltenden Rechts- und Verwaltungspraxis. Eine Aenderung der zugrundeliegenden Tatsachen oder der Rechtslage kann zu einer abweichenden Beurteilung fuehren. Das Gutachten ist ausschliesslich fuer den internen Gebrauch der Mandantin bestimmt; Weitergabe an Dritte (insb. Wirtschaftspruefer, Behoerden) nur nach gesonderter Freigabe.</w:t>
      </w:r>
    </w:p>
    <w:p>
      <w:pPr>
        <w:pStyle w:val="Heading3"/>
      </w:pPr>
      <w:r>
        <w:t>Schlussbestaetigung</w:t>
      </w:r>
    </w:p>
    <w:p>
      <w:r>
        <w:t>Stuttgart/Frankfurt, den 14. November 2022</w:t>
      </w:r>
    </w:p>
    <w:p>
      <w:r>
        <w:t>Dr. Sebastian Wallisch, Partner, Hengeler Mueller Partnerschaft mbB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