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Rechtsgutachten – Anwendbarkeit des LkSG ab 1.1.2024 auf die Brennhagen-Gruppe</w:t>
      </w:r>
    </w:p>
    <w:p>
      <w:pPr>
        <w:jc w:val="center"/>
      </w:pPr>
      <w:r>
        <w:t>Rechtsgutachten – 20. Juli 2023</w:t>
      </w:r>
    </w:p>
    <w:p/>
    <w:p>
      <w:pPr>
        <w:pStyle w:val="Heading3"/>
      </w:pPr>
      <w:r>
        <w:t>Anlass und Auftrag</w:t>
      </w:r>
    </w:p>
    <w:p>
      <w:r>
        <w:t>Mandant: Brennhagen Elektronik AG, vertreten durch den Vorstand. Gutachterauftrag: Pruefung, ob die Brennhagen Elektronik AG bzw. einzelne Konzerngesellschaften ab 1.1.2024 in den Anwendungsbereich des Lieferkettensorgfaltspflichtengesetzes (LkSG) fallen, und Beratung zur Aufbau einer LkSG-konformen Compliance-Organisation und Lieferanten-Due-Diligence.</w:t>
      </w:r>
    </w:p>
    <w:p>
      <w:r>
        <w:t>Beauftragte Kanzlei: Hengeler Mueller Partnerschaft mbB. Federfuehrender Partner: Dr. Hans-Juergen Stollberg. Vergutung: Stundensatz Partner 750 EUR, Senior Associate 480 EUR (gem. Mandatsvereinbarung).</w:t>
      </w:r>
    </w:p>
    <w:p>
      <w:pPr>
        <w:pStyle w:val="Heading3"/>
      </w:pPr>
      <w:r>
        <w:t>Sachverhalt</w:t>
      </w:r>
    </w:p>
    <w:p>
      <w:r>
        <w:t>Die Brennhagen-Gruppe beschaeftigt im Inland (REA, RHO, REG, RSG) zusammen rund 1.245 FTE (Stand 31.12.2023). Damit wird die Schwelle von 1.000 Beschaeftigten gemaess § 1 Abs. 1 Nr. 2 LkSG ab 1.1.2024 ueberschritten (zuvor 3.000-Schwelle, ab 1.1.2024 1.000-Schwelle). Die Holding-Mutter (REA) gilt als »Unternehmen« i. S. d. § 2 Abs. 6 LkSG; konzernzugehoerige Toechter werden zugerechnet, soweit beherrschender Einfluss besteht (§ 2 Abs. 6 S. 3 LkSG).</w:t>
      </w:r>
    </w:p>
    <w:p>
      <w:pPr>
        <w:pStyle w:val="Heading3"/>
      </w:pPr>
      <w:r>
        <w:t>Rechtliche Analyse</w:t>
      </w:r>
    </w:p>
    <w:p>
      <w:r>
        <w:t>Anwendbarkeit ab 1.1.2024 zu bejahen. Pflichten gemaess §§ 3-10 LkSG: Risikomanagement, Praeventionsmassnahmen, Beschwerdeverfahren, Abhilfemassnahmen, Dokumentation und Berichterstattung. Erste BAFA-Berichterstattung bis 30.4.2025 fuer Berichtsjahr 2024. Empfohlene Organisation: Bestellung eines LkSG-Menschenrechtsbeauftragten (vorhanden: CSO Stefan Koehler); Aufnahme der CoC-Klausel in Lieferantenvertraegen; Risikoanalyse Tier-1 jaehrlich; Hinweisgebersystem (SPEAK-UP@Brennhagen vorhanden).</w:t>
      </w:r>
    </w:p>
    <w:p>
      <w:pPr>
        <w:pStyle w:val="Heading3"/>
      </w:pPr>
      <w:r>
        <w:t>Ergebnis und Empfehlung</w:t>
      </w:r>
    </w:p>
    <w:p>
      <w:r>
        <w:t>Brennhagen faellt ab 1.1.2024 unter LkSG. Empfohlene Sofortmassnahmen: (1) Bestellung CSO als Menschenrechtsbeauftragter formalisieren; (2) konzernweite LkSG-Risikoanalyse Tier-1 und ggf. Tier-2 (Cobalt/Lithium); (3) CoC fuer Geschaeftspartner ueberarbeiten und ueber DocuSign rollouten; (4) Beschwerdeverfahren um LkSG-spezifische Hinweis-Kategorien erweitern; (5) erste Berichterstattung bis 30.4.2025 vorbereiten. Risiko Bussgeld § 24 LkSG: bis 8 Mio. EUR / 2 % Konzern-Umsatz.</w:t>
      </w:r>
    </w:p>
    <w:p>
      <w:pPr>
        <w:pStyle w:val="Heading3"/>
      </w:pPr>
      <w:r>
        <w:t>Vorbehalte / Disclaimer</w:t>
      </w:r>
    </w:p>
    <w:p>
      <w:r>
        <w:t>Dieses Gutachten beruht auf den uns vorgelegten Unterlagen sowie auf der zum Zeitpunkt der Erstellung geltenden Rechts- und Verwaltungspraxis. Eine Aenderung der zugrundeliegenden Tatsachen oder der Rechtslage kann zu einer abweichenden Beurteilung fuehren. Das Gutachten ist ausschliesslich fuer den internen Gebrauch der Mandantin bestimmt; Weitergabe an Dritte (insb. Wirtschaftspruefer, Behoerden) nur nach gesonderter Freigabe.</w:t>
      </w:r>
    </w:p>
    <w:p>
      <w:pPr>
        <w:pStyle w:val="Heading3"/>
      </w:pPr>
      <w:r>
        <w:t>Schlussbestaetigung</w:t>
      </w:r>
    </w:p>
    <w:p>
      <w:r>
        <w:t>Stuttgart/Frankfurt, den 20. Juli 2023</w:t>
      </w:r>
    </w:p>
    <w:p>
      <w:r>
        <w:t>Dr. Hans-Juergen Stollberg, Partner, Hengeler Mueller Partnerschaft mbB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