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STE / BMS-12 – Volkswagen AG (Plattform ID.7)</w:t>
      </w:r>
    </w:p>
    <w:p>
      <w:pPr>
        <w:jc w:val="center"/>
      </w:pPr>
      <w:r>
        <w:t>Single-Tier-Engagement / Long-Term Agreement (LTA)</w:t>
      </w:r>
    </w:p>
    <w:p/>
    <w:p>
      <w:pPr>
        <w:pStyle w:val="Heading3"/>
      </w:pPr>
      <w:r>
        <w:t>Vorgang</w:t>
      </w:r>
    </w:p>
    <w:p>
      <w:r>
        <w:t>Mit Schreiben vom 12.10.2022 hat die Volkswagen AG, Wolfsburg, die Brennhagen Elektronik AG / Brennhagen Elektronik GmbH (REG) als nominierten Lieferanten fuer das Batteriemanagementsystem BMS-12 in der Plattform ID.7 ausgewaehlt (SOP geplant Q3/2023). Diese Single-Tier-Engagement-Bestaetigung (STE) ist Grundlage fuer den anschliessenden Long-Term Agreement (LTA) mit 5 Jahren Laufzeit (1.7.2023 – 30.6.2028, kuendbar gemaess VW-Konzern-AGB).</w:t>
      </w:r>
    </w:p>
    <w:p>
      <w:pPr>
        <w:pStyle w:val="Heading3"/>
      </w:pPr>
      <w:r>
        <w:t>Inhalt der Nomination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BMS-12 (BatteryMS-12)</w:t>
            </w:r>
          </w:p>
        </w:tc>
      </w:tr>
      <w:tr>
        <w:tc>
          <w:tcPr>
            <w:tcW w:type="dxa" w:w="4320"/>
          </w:tcPr>
          <w:p>
            <w:r>
              <w:t>Plattform</w:t>
            </w:r>
          </w:p>
        </w:tc>
        <w:tc>
          <w:tcPr>
            <w:tcW w:type="dxa" w:w="4320"/>
          </w:tcPr>
          <w:p>
            <w:r>
              <w:t>Volkswagen MEB+ / ID.7</w:t>
            </w:r>
          </w:p>
        </w:tc>
      </w:tr>
      <w:tr>
        <w:tc>
          <w:tcPr>
            <w:tcW w:type="dxa" w:w="4320"/>
          </w:tcPr>
          <w:p>
            <w:r>
              <w:t>SOP</w:t>
            </w:r>
          </w:p>
        </w:tc>
        <w:tc>
          <w:tcPr>
            <w:tcW w:type="dxa" w:w="4320"/>
          </w:tcPr>
          <w:p>
            <w:r>
              <w:t>Q3 2023</w:t>
            </w:r>
          </w:p>
        </w:tc>
      </w:tr>
      <w:tr>
        <w:tc>
          <w:tcPr>
            <w:tcW w:type="dxa" w:w="4320"/>
          </w:tcPr>
          <w:p>
            <w:r>
              <w:t>Programm-Volumen</w:t>
            </w:r>
          </w:p>
        </w:tc>
        <w:tc>
          <w:tcPr>
            <w:tcW w:type="dxa" w:w="4320"/>
          </w:tcPr>
          <w:p>
            <w:r>
              <w:t>ca. 350.000 Einheiten p. a.</w:t>
            </w:r>
          </w:p>
        </w:tc>
      </w:tr>
      <w:tr>
        <w:tc>
          <w:tcPr>
            <w:tcW w:type="dxa" w:w="4320"/>
          </w:tcPr>
          <w:p>
            <w:r>
              <w:t>Programm-Laufzeit</w:t>
            </w:r>
          </w:p>
        </w:tc>
        <w:tc>
          <w:tcPr>
            <w:tcW w:type="dxa" w:w="4320"/>
          </w:tcPr>
          <w:p>
            <w:r>
              <w:t>5 Jahre + 2 Optionsjahre</w:t>
            </w:r>
          </w:p>
        </w:tc>
      </w:tr>
      <w:tr>
        <w:tc>
          <w:tcPr>
            <w:tcW w:type="dxa" w:w="4320"/>
          </w:tcPr>
          <w:p>
            <w:r>
              <w:t>Standort Produktion</w:t>
            </w:r>
          </w:p>
        </w:tc>
        <w:tc>
          <w:tcPr>
            <w:tcW w:type="dxa" w:w="4320"/>
          </w:tcPr>
          <w:p>
            <w:r>
              <w:t>REG Heilbronn (Hauptlinie) + RPL Katowice (SMD)</w:t>
            </w:r>
          </w:p>
        </w:tc>
      </w:tr>
      <w:tr>
        <w:tc>
          <w:tcPr>
            <w:tcW w:type="dxa" w:w="4320"/>
          </w:tcPr>
          <w:p>
            <w:r>
              <w:t>LCC</w:t>
            </w:r>
          </w:p>
        </w:tc>
        <w:tc>
          <w:tcPr>
            <w:tcW w:type="dxa" w:w="4320"/>
          </w:tcPr>
          <w:p>
            <w:r>
              <w:t>Lifetime ca. 60 Mio. Einheiten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Annual Productivity Index 3,5 % p. a. (VDA-Standard)</w:t>
            </w:r>
          </w:p>
        </w:tc>
      </w:tr>
    </w:tbl>
    <w:p>
      <w:pPr>
        <w:pStyle w:val="Heading3"/>
      </w:pPr>
      <w:r>
        <w:t>Compliance-Erklaerungen</w:t>
      </w:r>
    </w:p>
    <w:p>
      <w:r>
        <w:t>Die Brennhagen-Gruppe bestaetigt die Einhaltung saemtlicher VW-Konzern-Lieferanten-Compliance-Anforderungen, insbesondere: VW-Konzern-Nachhaltigkeitsrating-Module (Sustainability Rating-S-Rating), VW-Code-of-Conduct fuer Geschaeftspartner, IATF-16949-Zertifizierung (alle relevanten Werke), ASPICE-Level-2-3-Reifegrad RSG, ISO-14001 und ISO-50001 (Werke), Anti-Korruption gemaess UK Bribery Act / FCPA / §§ 299, 333 StGB, Sanktionen-/Exportkontroll-Konformitaet und LkSG-Anforderungen (ab 1.1.2024 berichtspflichtig).</w:t>
      </w:r>
    </w:p>
    <w:p>
      <w:pPr>
        <w:pStyle w:val="Heading3"/>
      </w:pPr>
      <w:r>
        <w:t>Naechste Schritte</w:t>
      </w:r>
    </w:p>
    <w:p>
      <w:r>
        <w:t>Verhandlung und Abschluss des LTA-Hauptvertrags bis 30.6.2023; Vereinbarung der jaehrlichen Productivity-Index-Klausel, Rohstoff-Pass-Through-Klausel (insb. fuer Halbleiter/Magnetwerkstoffe) und Sustainability-Linked-Klauseln (Scope 1-3 Emissionen). Parallel laufende PPAP-Vorbereitung und Werkzeugbau in Heilbronn.</w:t>
      </w:r>
    </w:p>
    <w:p>
      <w:pPr>
        <w:pStyle w:val="Heading3"/>
      </w:pPr>
      <w:r>
        <w:t>Unterschriften</w:t>
      </w:r>
    </w:p>
    <w:p>
      <w:r>
        <w:t>Ort, Datum: Stuttgart, den 15. Oktober 2022</w:t>
      </w:r>
    </w:p>
    <w:p>
      <w:r>
        <w:t>_________________________            _________________________</w:t>
        <w:br/>
        <w:t>Stefan Richter                          Andreas Maier</w:t>
        <w:br/>
        <w:t>CMO / Business Development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