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Verfahrensanweisung Sanktionsscreening und Exportkontrolle</w:t>
      </w:r>
    </w:p>
    <w:p>
      <w:pPr>
        <w:jc w:val="center"/>
      </w:pPr>
      <w:r>
        <w:t>Konzernweites Verfahren – Version 2.3 – Stand 15. Januar 2023</w:t>
      </w:r>
    </w:p>
    <w:p/>
    <w:p>
      <w:pPr>
        <w:pStyle w:val="Heading3"/>
      </w:pPr>
      <w:r>
        <w:t>Zielsetzung</w:t>
      </w:r>
    </w:p>
    <w:p>
      <w:r>
        <w:t>Diese Verfahrensanweisung regelt das konzernweite Screening von Geschaeftspartnern (Kunden, Lieferanten, Vertriebsagenten, Endkunden im Aftermarket) gegen Sanktionslisten der EU, der UN, OFAC (US) sowie HMT (UK) und den deutschen Embargo-Bestimmungen. Ziel ist die rechtssichere Einhaltung der ausserwirtschaftsrechtlichen Vorgaben (AWG, AWV, EU-Dual-Use-Verordnung 2021/821, US-EAR) und der einschlaegigen Russland-, Belarus- und Iran-Sanktionen.</w:t>
      </w:r>
    </w:p>
    <w:p>
      <w:pPr>
        <w:pStyle w:val="Heading3"/>
      </w:pPr>
      <w:r>
        <w:t>Geltungsbereich</w:t>
      </w:r>
    </w:p>
    <w:p>
      <w:pPr>
        <w:pStyle w:val="ListBullet"/>
      </w:pPr>
      <w:r>
        <w:t>Alle Konzerngesellschaften (REA, RHO, REG, RSG, RPL, RCZ, RHU, RCN)</w:t>
      </w:r>
    </w:p>
    <w:p>
      <w:pPr>
        <w:pStyle w:val="ListBullet"/>
      </w:pPr>
      <w:r>
        <w:t>Alle Geschaeftsvorfaelle Verkauf/Einkauf/Beratung mit Auslandsbezug</w:t>
      </w:r>
    </w:p>
    <w:p>
      <w:pPr>
        <w:pStyle w:val="ListBullet"/>
      </w:pPr>
      <w:r>
        <w:t>Bestehende und Neukunden/Lieferanten – Initial- und periodisches Re-Screening</w:t>
      </w:r>
    </w:p>
    <w:p>
      <w:pPr>
        <w:pStyle w:val="ListBullet"/>
      </w:pPr>
      <w:r>
        <w:t>Endkunden im Aftermarket (RCN Shanghai – End-User-Statement) gemaess Dual-Use-VO</w:t>
      </w:r>
    </w:p>
    <w:p>
      <w:pPr>
        <w:pStyle w:val="Heading3"/>
      </w:pPr>
      <w:r>
        <w:t>Tool und Datenquellen</w:t>
      </w:r>
    </w:p>
    <w:p>
      <w:r>
        <w:t>Verwendetes Tool: ComplyCube (Konzernlizenz, betrieben durch Group Compliance). Datenquellen: EU-Konsolidierte Liste (CFSP), UN Security Council Consolidated List, US OFAC SDN/SSI, UK HMT Consolidated List, BAFA-Embargo-Hinweise, Sanctions Map EU. Screening-Frequenz: bei Onboarding, vor jeder Rechnungs-/Lieferfreigabe sowie taeglich automatisch ueber Delta-Listen-Updates.</w:t>
      </w:r>
    </w:p>
    <w:p>
      <w:pPr>
        <w:pStyle w:val="Heading3"/>
      </w:pPr>
      <w:r>
        <w:t>Prozess</w:t>
      </w:r>
    </w:p>
    <w:p>
      <w:pPr>
        <w:pStyle w:val="Heading4"/>
      </w:pPr>
      <w:r>
        <w:t>§ 1 Pre-Screening</w:t>
      </w:r>
    </w:p>
    <w:p>
      <w:r>
        <w:rPr>
          <w:b/>
        </w:rPr>
        <w:t xml:space="preserve">(1) </w:t>
      </w:r>
      <w:r>
        <w:t>Stammdatenpflege durch SAP-Master-Data; ComplyCube-Integration ueber API.</w:t>
      </w:r>
    </w:p>
    <w:p>
      <w:r>
        <w:rPr>
          <w:b/>
        </w:rPr>
        <w:t xml:space="preserve">(2) </w:t>
      </w:r>
      <w:r>
        <w:t>Initial-Screening bei Anlage neuer Geschaeftspartner; Sperre des Datensatzes bei Hit, Eskalation an Compliance Officer.</w:t>
      </w:r>
    </w:p>
    <w:p>
      <w:pPr>
        <w:pStyle w:val="Heading4"/>
      </w:pPr>
      <w:r>
        <w:t>§ 2 Hit-Bewertung und Eskalation</w:t>
      </w:r>
    </w:p>
    <w:p>
      <w:r>
        <w:rPr>
          <w:b/>
        </w:rPr>
        <w:t xml:space="preserve">(1) </w:t>
      </w:r>
      <w:r>
        <w:t>Erstpruefung durch Compliance-Analyst (Group Compliance, Lehmann). Bei Bestaetigung Eskalation an Dr. Constanze Behrens (CO) sowie BAFA-Beauftragte Dr. Heike Berger (Group Tax).</w:t>
      </w:r>
    </w:p>
    <w:p>
      <w:r>
        <w:rPr>
          <w:b/>
        </w:rPr>
        <w:t xml:space="preserve">(2) </w:t>
      </w:r>
      <w:r>
        <w:t>Bei militaerischer Endverwendung (Dual-Use-Komponenten ECU-900/ADAS-V4D) Genehmigungspflicht BAFA-Antrag vor Lieferung. Lead-Time mind. 8 Wochen.</w:t>
      </w:r>
    </w:p>
    <w:p>
      <w:pPr>
        <w:pStyle w:val="Heading4"/>
      </w:pPr>
      <w:r>
        <w:t>§ 3 Transaktions-Screening</w:t>
      </w:r>
    </w:p>
    <w:p>
      <w:r>
        <w:rPr>
          <w:b/>
        </w:rPr>
        <w:t xml:space="preserve">(1) </w:t>
      </w:r>
      <w:r>
        <w:t>Pruefung jeder Auftragsbestaetigung gegen Liste der gelisteten Endkunden und Verwendungszwecke (Catch-All-Klausel Art. 4 EU-Dual-Use-VO).</w:t>
      </w:r>
    </w:p>
    <w:p>
      <w:r>
        <w:rPr>
          <w:b/>
        </w:rPr>
        <w:t xml:space="preserve">(2) </w:t>
      </w:r>
      <w:r>
        <w:t>Russland-Sanktionen: Auftraege seit 24.2.2022 zusaetzlicher Manual-Review (verbotene Gueterlisten gemaess EU-833/2014 idF Stand 19.12.2024).</w:t>
      </w:r>
    </w:p>
    <w:p>
      <w:pPr>
        <w:pStyle w:val="Heading4"/>
      </w:pPr>
      <w:r>
        <w:t>§ 4 Dokumentation und Audit</w:t>
      </w:r>
    </w:p>
    <w:p>
      <w:r>
        <w:rPr>
          <w:b/>
        </w:rPr>
        <w:t xml:space="preserve">(1) </w:t>
      </w:r>
      <w:r>
        <w:t>Lueckenlose Dokumentation aller Hits, Bewertungen und Freigaben im ComplyCube-Audit-Log fuer mind. 10 Jahre (Aufbewahrungsfristen § 22 AWG).</w:t>
      </w:r>
    </w:p>
    <w:p>
      <w:r>
        <w:rPr>
          <w:b/>
        </w:rPr>
        <w:t xml:space="preserve">(2) </w:t>
      </w:r>
      <w:r>
        <w:t>Jaehrliches Audit der Sanktionsscreening-Prozesse durch Konzernrevision sowie externe Pruefung im Rahmen der IDW PS 980-Pruefung (KPMG, Lead Dr. Brand).</w:t>
      </w:r>
    </w:p>
    <w:p>
      <w:pPr>
        <w:pStyle w:val="Heading3"/>
      </w:pPr>
      <w:r>
        <w:t>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Aufgabe</w:t>
            </w:r>
          </w:p>
        </w:tc>
      </w:tr>
      <w:tr>
        <w:tc>
          <w:tcPr>
            <w:tcW w:type="dxa" w:w="2880"/>
          </w:tcPr>
          <w:p>
            <w:r>
              <w:t>Compliance Officer</w:t>
            </w:r>
          </w:p>
        </w:tc>
        <w:tc>
          <w:tcPr>
            <w:tcW w:type="dxa" w:w="2880"/>
          </w:tcPr>
          <w:p>
            <w:r>
              <w:t>Dr. Constanze Behrens</w:t>
            </w:r>
          </w:p>
        </w:tc>
        <w:tc>
          <w:tcPr>
            <w:tcW w:type="dxa" w:w="2880"/>
          </w:tcPr>
          <w:p>
            <w:r>
              <w:t>Gesamtverantwortung Sanktionscompliance</w:t>
            </w:r>
          </w:p>
        </w:tc>
      </w:tr>
      <w:tr>
        <w:tc>
          <w:tcPr>
            <w:tcW w:type="dxa" w:w="2880"/>
          </w:tcPr>
          <w:p>
            <w:r>
              <w:t>BAFA-Beauftragte</w:t>
            </w:r>
          </w:p>
        </w:tc>
        <w:tc>
          <w:tcPr>
            <w:tcW w:type="dxa" w:w="2880"/>
          </w:tcPr>
          <w:p>
            <w:r>
              <w:t>Dr. Heike Berger</w:t>
            </w:r>
          </w:p>
        </w:tc>
        <w:tc>
          <w:tcPr>
            <w:tcW w:type="dxa" w:w="2880"/>
          </w:tcPr>
          <w:p>
            <w:r>
              <w:t>Antragsverfahren / Aussenwirtschaft</w:t>
            </w:r>
          </w:p>
        </w:tc>
      </w:tr>
      <w:tr>
        <w:tc>
          <w:tcPr>
            <w:tcW w:type="dxa" w:w="2880"/>
          </w:tcPr>
          <w:p>
            <w:r>
              <w:t>Geldwaeschebeauftragter</w:t>
            </w:r>
          </w:p>
        </w:tc>
        <w:tc>
          <w:tcPr>
            <w:tcW w:type="dxa" w:w="2880"/>
          </w:tcPr>
          <w:p>
            <w:r>
              <w:t>Markus Pflanzer</w:t>
            </w:r>
          </w:p>
        </w:tc>
        <w:tc>
          <w:tcPr>
            <w:tcW w:type="dxa" w:w="2880"/>
          </w:tcPr>
          <w:p>
            <w:r>
              <w:t>GwG-Verzahnung, KYC</w:t>
            </w:r>
          </w:p>
        </w:tc>
      </w:tr>
      <w:tr>
        <w:tc>
          <w:tcPr>
            <w:tcW w:type="dxa" w:w="2880"/>
          </w:tcPr>
          <w:p>
            <w:r>
              <w:t>Compliance-Analyst</w:t>
            </w:r>
          </w:p>
        </w:tc>
        <w:tc>
          <w:tcPr>
            <w:tcW w:type="dxa" w:w="2880"/>
          </w:tcPr>
          <w:p>
            <w:r>
              <w:t>M. Lehmann (Group Compliance)</w:t>
            </w:r>
          </w:p>
        </w:tc>
        <w:tc>
          <w:tcPr>
            <w:tcW w:type="dxa" w:w="2880"/>
          </w:tcPr>
          <w:p>
            <w:r>
              <w:t>Operativer Tool-Betrieb ComplyCube</w:t>
            </w:r>
          </w:p>
        </w:tc>
      </w:tr>
      <w:tr>
        <w:tc>
          <w:tcPr>
            <w:tcW w:type="dxa" w:w="2880"/>
          </w:tcPr>
          <w:p>
            <w:r>
              <w:t>Werks-Compliance-Beauftragte</w:t>
            </w:r>
          </w:p>
        </w:tc>
        <w:tc>
          <w:tcPr>
            <w:tcW w:type="dxa" w:w="2880"/>
          </w:tcPr>
          <w:p>
            <w:r>
              <w:t>Werkleiter REG/RPL/RCZ/RHU/RCN</w:t>
            </w:r>
          </w:p>
        </w:tc>
        <w:tc>
          <w:tcPr>
            <w:tcW w:type="dxa" w:w="2880"/>
          </w:tcPr>
          <w:p>
            <w:r>
              <w:t>Vor-Ort-Eskalation</w:t>
            </w:r>
          </w:p>
        </w:tc>
      </w:tr>
    </w:tbl>
    <w:p>
      <w:pPr>
        <w:pStyle w:val="Heading3"/>
      </w:pPr>
      <w:r>
        <w:t>Unterschriften</w:t>
      </w:r>
    </w:p>
    <w:p>
      <w:r>
        <w:t>Ort, Datum: Stuttgart, den 15. Januar 2023</w:t>
      </w:r>
    </w:p>
    <w:p>
      <w:r>
        <w:t>_________________________            _________________________</w:t>
        <w:br/>
        <w:t>Anna Mueller                          Dr. Constanze Behrens</w:t>
        <w:br/>
        <w:t>CEO                          Compliance Officer (extern)</w:t>
        <w:br/>
        <w:t>Brennhagen Elektronik AG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