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Elektronik GmbH</w:t>
      </w:r>
    </w:p>
    <w:p>
      <w:pPr>
        <w:jc w:val="center"/>
      </w:pPr>
      <w:r>
        <w:t>Compliance-Risikoanalyse – Berichtsjahr 2023</w:t>
      </w:r>
    </w:p>
    <w:p/>
    <w:p>
      <w:pPr>
        <w:pStyle w:val="Heading3"/>
      </w:pPr>
      <w:r>
        <w:t>Anlass und Scope</w:t>
      </w:r>
    </w:p>
    <w:p>
      <w:r>
        <w:t>Diese Risikoanalyse fuer das Thema Kartellrecht betrifft die Brennhagen Elektronik GmbH (REG), Heilbronn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REG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Heilbronn, den 15. Dezember 2023</w:t>
      </w:r>
    </w:p>
    <w:p>
      <w:r>
        <w:t>_________________________            _________________________</w:t>
        <w:br/>
        <w:t>Werksleitung REG                          Dr. Constanze Behrens</w:t>
        <w:br/>
        <w:t>Geschaeftsfuehrung / Werksleitung                          Compliance Officer (extern)</w:t>
        <w:br/>
        <w:t>Brennhagen Elektronik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