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Legal-&amp;-Compliance-Report 2021 – Brennhagen Hungary Kft.</w:t>
      </w:r>
    </w:p>
    <w:p>
      <w:pPr>
        <w:jc w:val="center"/>
      </w:pPr>
      <w:r>
        <w:t>Berichtsjahr 2021 – Adressat: Pruefungsausschuss Aufsichtsrat REA</w:t>
      </w:r>
    </w:p>
    <w:p/>
    <w:p>
      <w:pPr>
        <w:pStyle w:val="Heading3"/>
      </w:pPr>
      <w:r>
        <w:t>Berichtsgegenstand und Berichterstatter</w:t>
      </w:r>
    </w:p>
    <w:p>
      <w:r>
        <w:t>Dieser Legal-&amp;-Compliance-Report betrifft die Brennhagen Hungary Kft. (RHU), Győr (HU). Berichtsperiode: 1.1.2021 – 31.12.2021. Berichterstatter: lokaler Compliance-Beauftragter / Werksleitung in Abstimmung mit Konzern-Compliance (Dr. Constanze Behrens, extern Hengeler Mueller). Adressat: Pruefungsausschuss Aufsichtsrat REA (Vorsitz Prof. Dr.-Ing. Voss) und Vorstand REA (CEO Anna Mueller, CFO Laura Bauer).</w:t>
      </w:r>
    </w:p>
    <w:p>
      <w:pPr>
        <w:pStyle w:val="Heading3"/>
      </w:pPr>
      <w:r>
        <w:t>Gesellschaftsrechtliche Daten</w:t>
      </w:r>
    </w:p>
    <w:p>
      <w:r>
        <w:t>Gesellschaftsform und HRB/Register: Cg.08-09-029876. Mitarbeiter: 540 FTE. Umsatz 2021: ca. 54 Mio. EUR. Funktion im Konzern: Produktion Sensorik. 100 %-Tochter von RHO Brennhagen Holding GmbH.</w:t>
      </w:r>
    </w:p>
    <w:p>
      <w:pPr>
        <w:pStyle w:val="Heading3"/>
      </w:pPr>
      <w:r>
        <w:t>Compliance-Status nach Themen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Thema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Wesentliche Massnahmen</w:t>
            </w:r>
          </w:p>
        </w:tc>
      </w:tr>
      <w:tr>
        <w:tc>
          <w:tcPr>
            <w:tcW w:type="dxa" w:w="2880"/>
          </w:tcPr>
          <w:p>
            <w:r>
              <w:t>Anti-Korruption (ABC)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ABC-Schulungen 96 %-Coverage; 0 Faelle &gt; 50 kEUR; jaehrliches ABC-Audit (Hengeler Mueller); Gifts-&amp;-Hospitality-Register aktiv</w:t>
            </w:r>
          </w:p>
        </w:tc>
      </w:tr>
      <w:tr>
        <w:tc>
          <w:tcPr>
            <w:tcW w:type="dxa" w:w="2880"/>
          </w:tcPr>
          <w:p>
            <w:r>
              <w:t>Kartellrecht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Antitrust-Schulungen Vertrieb/Einkauf abgeschlossen; Dawn-Raid-SOP an alle Manager; 0 BKartA/UOKiK/UOHS-Verfahren</w:t>
            </w:r>
          </w:p>
        </w:tc>
      </w:tr>
      <w:tr>
        <w:tc>
          <w:tcPr>
            <w:tcW w:type="dxa" w:w="2880"/>
          </w:tcPr>
          <w:p>
            <w:r>
              <w:t>Sanktionen / Exportkontrolle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ComplyCube-Screening implementiert; Russland-Sanktionen vollstaendig umgesetzt; Endkundenpruefung bei Aftermarket-Bestellungen verschaerft</w:t>
            </w:r>
          </w:p>
        </w:tc>
      </w:tr>
      <w:tr>
        <w:tc>
          <w:tcPr>
            <w:tcW w:type="dxa" w:w="2880"/>
          </w:tcPr>
          <w:p>
            <w:r>
              <w:t>DSGVO / Privacy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VVT aktuell; DSB Dr. Markus Lehmann; 0 meldepflichtige Datenpannen schwerer Art im Berichtsjahr</w:t>
            </w:r>
          </w:p>
        </w:tc>
      </w:tr>
      <w:tr>
        <w:tc>
          <w:tcPr>
            <w:tcW w:type="dxa" w:w="2880"/>
          </w:tcPr>
          <w:p>
            <w:r>
              <w:t>LkSG / Menschenrechte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CoC-fuer-Geschaeftspartner ausgerollt; KYC-Pruefung Tier-1 erfolgt; Hinweisgebersystem aktiv</w:t>
            </w:r>
          </w:p>
        </w:tc>
      </w:tr>
      <w:tr>
        <w:tc>
          <w:tcPr>
            <w:tcW w:type="dxa" w:w="2880"/>
          </w:tcPr>
          <w:p>
            <w:r>
              <w:t>Arbeits-/Sozialrecht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wesentlichen Verfahren; Betriebsrat / Gewerkschaft etabliert; Tarifkonformitaet bestaetigt</w:t>
            </w:r>
          </w:p>
        </w:tc>
      </w:tr>
      <w:tr>
        <w:tc>
          <w:tcPr>
            <w:tcW w:type="dxa" w:w="2880"/>
          </w:tcPr>
          <w:p>
            <w:r>
              <w:t>Umwelt / Genehmigungen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Alle BImSchG-/lokalen Umweltgenehmigungen gueltig; ISO 14001 zertifiziert</w:t>
            </w:r>
          </w:p>
        </w:tc>
      </w:tr>
      <w:tr>
        <w:tc>
          <w:tcPr>
            <w:tcW w:type="dxa" w:w="2880"/>
          </w:tcPr>
          <w:p>
            <w:r>
              <w:t>Steuer-Compliance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Steuererklaerungen fristgerecht eingereicht; keine Mehrsteuern aus Betriebspruefungen</w:t>
            </w:r>
          </w:p>
        </w:tc>
      </w:tr>
    </w:tbl>
    <w:p>
      <w:pPr>
        <w:pStyle w:val="Heading3"/>
      </w:pPr>
      <w:r>
        <w:t>Wesentliche Rechtsstreitigkeiten</w:t>
      </w:r>
    </w:p>
    <w:p>
      <w:r>
        <w:t>Im Berichtsjahr 2021 bestehen bei RHU folgende Verfahren: ein arbeitsrechtliches Verfahren (Kuendigungsschutz, Streitwert &lt; 50 kEUR, Erfolgsaussicht gut), ein Lieferantendispute (Reklamation einer fehlerhaften Charge, Streitwert ca. 120 kEUR, in Vergleichsverhandlung). Patentstreitigkeiten: keine. Strafrechtliche Verfahren: keine. Behoerdliche Untersuchungen: keine.</w:t>
      </w:r>
    </w:p>
    <w:p>
      <w:pPr>
        <w:pStyle w:val="Heading3"/>
      </w:pPr>
      <w:r>
        <w:t>Schulungs- und Awareness-Status</w:t>
      </w:r>
    </w:p>
    <w:p>
      <w:r>
        <w:t>Pflicht-E-Learnings im LMS Brennhagen Learn (SuccessFactors) – Coverage 2021: Code of Conduct 98 %, ABC 96 %, Antitrust 94 %, Sanktionen 92 %, DSGVO 97 %, LkSG (Einkauf) 95 %. Praesenz-Briefings durch Hengeler Mueller fuer Top-Management vor Ort durchgefuehrt.</w:t>
      </w:r>
    </w:p>
    <w:p>
      <w:pPr>
        <w:pStyle w:val="Heading3"/>
      </w:pPr>
      <w:r>
        <w:t>Hinweisgebersystem</w:t>
      </w:r>
    </w:p>
    <w:p>
      <w:r>
        <w:t>Im Berichtsjahr 2021 gingen bei RHU keine Hinweise mit substantiierten Anhaltspunkten fuer schwere Verstoesse ueber SPEAK-UP@Brennhagen (EQS Group) oder den externen Ombudsmann Dr. Wolfgang Stahl ein. Lokale Vorfaelle wurden ueber HR-Linie bearbeitet (Bagatell-Bereich).</w:t>
      </w:r>
    </w:p>
    <w:p>
      <w:pPr>
        <w:pStyle w:val="Heading3"/>
      </w:pPr>
      <w:r>
        <w:t>Risikoeinschaetzung und Ausblick</w:t>
      </w:r>
    </w:p>
    <w:p>
      <w:r>
        <w:t>Das Compliance-Risiko bei RHU wird fuer 2021 insgesamt als »niedrig bis mittel« eingestuft. Schwerpunkte fuer das Folgejahr: weitere Verschaerfung der Sanktionsscreening-Disziplin (insbesondere RCN/RPL/RCZ wegen geografischer Naehe zu Sanktionsregimen), Vertiefung der LkSG-Tier-2-Sichtbarkeit, ISO 27001-Roll-out (in Vorbereitung).</w:t>
      </w:r>
    </w:p>
    <w:p>
      <w:pPr>
        <w:pStyle w:val="Heading3"/>
      </w:pPr>
      <w:r>
        <w:t>Erklaerung und Bestaetigung</w:t>
      </w:r>
    </w:p>
    <w:p>
      <w:r>
        <w:t>Der Berichterstatter bestaetigt die Vollstaendigkeit und Richtigkeit der vorstehenden Angaben nach bestem Wissen. Etwaige spaetere Erkenntnisse werden im Wege eines Nachtragsberichts unverzueglich an die Konzern-Compliance gemeldet.</w:t>
      </w:r>
    </w:p>
    <w:p>
      <w:pPr>
        <w:pStyle w:val="Heading3"/>
      </w:pPr>
      <w:r>
        <w:t>Unterschrift</w:t>
      </w:r>
    </w:p>
    <w:p>
      <w:r>
        <w:t>Ort, Datum: Győr, den 31. Januar 2022</w:t>
      </w:r>
    </w:p>
    <w:p>
      <w:r>
        <w:t>_________________________            _________________________</w:t>
        <w:br/>
        <w:t>Werksleitung RHU                          Dr. Constanze Behrens</w:t>
        <w:br/>
        <w:t>Geschaeftsfuehrung / Werksleitung                          Compliance Officer Konzern (extern)</w:t>
        <w:br/>
        <w:t>Brennhagen Hungary Kft.                       Hengeler Mueller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