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Hungary Kft.</w:t>
      </w:r>
    </w:p>
    <w:p>
      <w:pPr>
        <w:jc w:val="center"/>
      </w:pPr>
      <w:r>
        <w:t>Compliance-Risikoanalyse – Berichtsjahr 2023</w:t>
      </w:r>
    </w:p>
    <w:p/>
    <w:p>
      <w:pPr>
        <w:pStyle w:val="Heading3"/>
      </w:pPr>
      <w:r>
        <w:t>Anlass und Scope</w:t>
      </w:r>
    </w:p>
    <w:p>
      <w:r>
        <w:t>Diese Risikoanalyse fuer das Thema Exportkontrolle betrifft die Brennhagen Hungary Kft. (RHU), Győr (HU).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RHU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Győr, den 15. Dezember 2023</w:t>
      </w:r>
    </w:p>
    <w:p>
      <w:r>
        <w:t>_________________________            _________________________</w:t>
        <w:br/>
        <w:t>Werksleitung RHU                          Dr. Constanze Behrens</w:t>
        <w:br/>
        <w:t>Geschaeftsfuehrung / Werksleitung                          Compliance Officer (extern)</w:t>
        <w:br/>
        <w:t>Brennhagen Hungary Kft.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