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2023 – Brennhagen Software GmbH</w:t>
      </w:r>
    </w:p>
    <w:p>
      <w:pPr>
        <w:jc w:val="center"/>
      </w:pPr>
      <w:r>
        <w:t>Berichtsjahr 2023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Software GmbH (RSG), München (DE). Berichtsperiode: 1.1.2023 – 31.12.2023.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HRB 319872, AG München. Mitarbeiter: 340 FTE. Umsatz 2023: ca. 62 Mio. EUR. Funktion im Konzern: Embedded Software / ADAS.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2023 bestehen bei RSG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2023: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2023 gingen bei RSG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RSG wird fuer 2023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München, den 31. Januar 2024</w:t>
      </w:r>
    </w:p>
    <w:p>
      <w:r>
        <w:t>_________________________            _________________________</w:t>
        <w:br/>
        <w:t>Werksleitung RSG                          Dr. Constanze Behrens</w:t>
        <w:br/>
        <w:t>Geschaeftsfuehrung / Werksleitung                          Compliance Officer Konzern (extern)</w:t>
        <w:br/>
        <w:t>Brennhagen Software GmbH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