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Software GmbH</w:t>
      </w:r>
    </w:p>
    <w:p>
      <w:pPr>
        <w:jc w:val="center"/>
      </w:pPr>
      <w:r>
        <w:t>Compliance-Risikoanalyse – Berichtsjahr 2023</w:t>
      </w:r>
    </w:p>
    <w:p/>
    <w:p>
      <w:pPr>
        <w:pStyle w:val="Heading3"/>
      </w:pPr>
      <w:r>
        <w:t>Anlass und Scope</w:t>
      </w:r>
    </w:p>
    <w:p>
      <w:r>
        <w:t>Diese Risikoanalyse fuer das Thema Exportkontrolle betrifft die Brennhagen Software GmbH (RSG), München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RSG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München, den 15. Dezember 2023</w:t>
      </w:r>
    </w:p>
    <w:p>
      <w:r>
        <w:t>_________________________            _________________________</w:t>
        <w:br/>
        <w:t>Werksleitung RSG                          Dr. Constanze Behrens</w:t>
        <w:br/>
        <w:t>Geschaeftsfuehrung / Werksleitung                          Compliance Officer (extern)</w:t>
        <w:br/>
        <w:t>Brennhagen Software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