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Risiko-Assessment Korruptionsrisiko 2023 – Brennhagen Software GmbH</w:t>
      </w:r>
    </w:p>
    <w:p>
      <w:pPr>
        <w:jc w:val="center"/>
      </w:pPr>
      <w:r>
        <w:t>Compliance-Risikoanalyse – Berichtsjahr 2023</w:t>
      </w:r>
    </w:p>
    <w:p/>
    <w:p>
      <w:pPr>
        <w:pStyle w:val="Heading3"/>
      </w:pPr>
      <w:r>
        <w:t>Anlass und Scope</w:t>
      </w:r>
    </w:p>
    <w:p>
      <w:r>
        <w:t>Diese Risikoanalyse fuer das Thema Korruptionsrisiko betrifft die Brennhagen Software GmbH (RSG), München (DE). Berichtsjahr: 2023. Methodik: Brutto-/Netto-Bewertung auf 5x5-Heatmap (Eintrittswahrscheinlichkeit x Schadenpotenzial). Verantwortlich: Werksleitung in Abstimmung mit Konzern-Compliance (Dr. Constanze Behrens, extern Hengeler Mueller).</w:t>
      </w:r>
    </w:p>
    <w:p>
      <w:pPr>
        <w:pStyle w:val="Heading3"/>
      </w:pPr>
      <w:r>
        <w:t>Rechtsgrundlagen</w:t>
      </w:r>
    </w:p>
    <w:p>
      <w:pPr>
        <w:pStyle w:val="ListBullet"/>
      </w:pPr>
      <w:r>
        <w:t>UK Bribery Act 2010; US FCPA; §§ 299-301, 331-334 StGB</w:t>
      </w:r>
    </w:p>
    <w:p>
      <w:pPr>
        <w:pStyle w:val="ListBullet"/>
      </w:pPr>
      <w:r>
        <w:t>OECD-Anti-Bribery-Convention; UNCAC</w:t>
      </w:r>
    </w:p>
    <w:p>
      <w:pPr>
        <w:pStyle w:val="ListBullet"/>
      </w:pPr>
      <w:r>
        <w:t>Konzern-Anti-Korruptions-Richtlinie 2023 (Version 3.0)</w:t>
      </w:r>
    </w:p>
    <w:p>
      <w:pPr>
        <w:pStyle w:val="Heading3"/>
      </w:pPr>
      <w:r>
        <w:t>Identifizierte Risiken</w:t>
      </w:r>
    </w:p>
    <w:p>
      <w:pPr>
        <w:pStyle w:val="ListBullet"/>
      </w:pPr>
      <w:r>
        <w:t>Geschenke/Bewirtungen gegenueber OEM-Einkauf/Qualitaet (Insbesondere im Aftermarket)</w:t>
      </w:r>
    </w:p>
    <w:p>
      <w:pPr>
        <w:pStyle w:val="ListBullet"/>
      </w:pPr>
      <w:r>
        <w:t>Vermittlungsprovisionen Vertriebsagenten in Schwellenmaerkten</w:t>
      </w:r>
    </w:p>
    <w:p>
      <w:pPr>
        <w:pStyle w:val="ListBullet"/>
      </w:pPr>
      <w:r>
        <w:t>Genehmigungen Behoerden (Bau, Umwelt, Zoll) in CN/PL/CZ/HU</w:t>
      </w:r>
    </w:p>
    <w:p>
      <w:pPr>
        <w:pStyle w:val="ListBullet"/>
      </w:pPr>
      <w:r>
        <w:t>Sponsoring / Spenden (insb. politische Funktionstraeger lokal)</w:t>
      </w:r>
    </w:p>
    <w:p>
      <w:pPr>
        <w:pStyle w:val="ListBullet"/>
      </w:pPr>
      <w:r>
        <w:t>Facilitation Payments (Zoll, Inspektoren) in CN</w:t>
      </w:r>
    </w:p>
    <w:p>
      <w:pPr>
        <w:pStyle w:val="Heading3"/>
      </w:pPr>
      <w:r>
        <w:t>Mitigation und Kontrollen</w:t>
      </w:r>
    </w:p>
    <w:p>
      <w:pPr>
        <w:pStyle w:val="ListBullet"/>
      </w:pPr>
      <w:r>
        <w:t>Gifts-&amp;-Hospitality-Register Pflicht; Cap 50 EUR / 100 EUR Bewirtung</w:t>
      </w:r>
    </w:p>
    <w:p>
      <w:pPr>
        <w:pStyle w:val="ListBullet"/>
      </w:pPr>
      <w:r>
        <w:t>Vertriebsagenten nur nach TPDD; Provisionen marktgerecht; Audit-Right</w:t>
      </w:r>
    </w:p>
    <w:p>
      <w:pPr>
        <w:pStyle w:val="ListBullet"/>
      </w:pPr>
      <w:r>
        <w:t>ABC-Schulung Pflicht-E-Learning, Coverage &gt;=96 %</w:t>
      </w:r>
    </w:p>
    <w:p>
      <w:pPr>
        <w:pStyle w:val="ListBullet"/>
      </w:pPr>
      <w:r>
        <w:t>Vier-Augen-Prinzip Genehmigungs-Kommunikation Behoerden</w:t>
      </w:r>
    </w:p>
    <w:p>
      <w:pPr>
        <w:pStyle w:val="ListBullet"/>
      </w:pPr>
      <w:r>
        <w:t>Speak-Up-System + externer Ombudsmann Dr. Wolfgang Stahl</w:t>
      </w:r>
    </w:p>
    <w:p>
      <w:pPr>
        <w:pStyle w:val="Heading3"/>
      </w:pPr>
      <w:r>
        <w:t>Gesamtbewertung</w:t>
      </w:r>
    </w:p>
    <w:p>
      <w:r>
        <w:t>Brutto-Risiko: mittel. Netto-Risiko: niedrig. Akzeptabel.</w:t>
      </w:r>
    </w:p>
    <w:p>
      <w:pPr>
        <w:pStyle w:val="Heading3"/>
      </w:pPr>
      <w:r>
        <w:t>Befunde und Massnahmen</w:t>
      </w:r>
    </w:p>
    <w:p>
      <w:r>
        <w:t>Im Rahmen der Risikoanalyse 2023 wurden bei RSG keine wesentlichen neuen Risikobereiche identifiziert. Bestehende Kontrollmassnahmen werden als wirksam eingestuft. Eine Detailrevision durch die Konzernrevision (CAE Andreas Buehler) ist fuer das Folgejahr terminiert. Re-Assessment turnusmaessig in 12 Monaten.</w:t>
      </w:r>
    </w:p>
    <w:p>
      <w:pPr>
        <w:pStyle w:val="Heading3"/>
      </w:pPr>
      <w:r>
        <w:t>Schlussbemerkung</w:t>
      </w:r>
    </w:p>
    <w:p>
      <w:r>
        <w:t>Diese Bewertung wird dem Pruefungsausschuss des Aufsichtsrats der REA sowie dem Vorstand zur Kenntnis vorgelegt. Bei wesentlichen Aenderungen im Berichtsjahr erfolgt eine Aktualisierung.</w:t>
      </w:r>
    </w:p>
    <w:p>
      <w:pPr>
        <w:pStyle w:val="Heading3"/>
      </w:pPr>
      <w:r>
        <w:t>Unterschriften</w:t>
      </w:r>
    </w:p>
    <w:p>
      <w:r>
        <w:t>Ort, Datum: München, den 15. Dezember 2023</w:t>
      </w:r>
    </w:p>
    <w:p>
      <w:r>
        <w:t>_________________________            _________________________</w:t>
        <w:br/>
        <w:t>Werksleitung RSG                          Dr. Constanze Behrens</w:t>
        <w:br/>
        <w:t>Geschaeftsfuehrung / Werksleitung                          Compliance Officer (extern)</w:t>
        <w:br/>
        <w:t>Brennhagen Software GmbH                       Hengeler Mueller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