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Rechtsakte Schriftsatz – Arbeitsrechtliches Kuendigungsverfahren</w:t>
      </w:r>
    </w:p>
    <w:p>
      <w:pPr>
        <w:jc w:val="center"/>
      </w:pPr>
      <w:r>
        <w:t>Aktenzeichen ArbG Heilbronn, Aktenzeichen 8 Ca 215/22 – 2022</w:t>
      </w:r>
    </w:p>
    <w:p/>
    <w:p>
      <w:pPr>
        <w:pStyle w:val="Heading3"/>
      </w:pPr>
      <w:r>
        <w:t>Sache / Aktenzeichen</w:t>
      </w:r>
    </w:p>
    <w:p>
      <w:r>
        <w:t>Fall: Arbeitsrechtliches Kuendigungsverfahren</w:t>
      </w:r>
    </w:p>
    <w:p>
      <w:r>
        <w:t>Aktenzeichen: ArbG Heilbronn, Aktenzeichen 8 Ca 215/22</w:t>
      </w:r>
    </w:p>
    <w:p>
      <w:r>
        <w:t>Aktentyp: Schriftsatz (2022)</w:t>
      </w:r>
    </w:p>
    <w:p>
      <w:r>
        <w:t>Vertretung Brennhagen: Lokale Kanzlei: Mueller &amp; Partner Heilbronn</w:t>
      </w:r>
    </w:p>
    <w:p>
      <w:r>
        <w:t>Konzern-Compliance: Dr. Constanze Behrens (Hengeler Mueller)</w:t>
      </w:r>
    </w:p>
    <w:p>
      <w:pPr>
        <w:pStyle w:val="Heading3"/>
      </w:pPr>
      <w:r>
        <w:t>Sachverhalt</w:t>
      </w:r>
    </w:p>
    <w:p>
      <w:r>
        <w:t>Kuendigungsschutzklage gegen REG Heilbronn; Klaegerin: ehem. Mitarbeiterin (Vertrieb, betriebsbedingte Kuendigung im Rahmen Restrukturierung 2022); Streitwert 32.500 EUR.</w:t>
      </w:r>
    </w:p>
    <w:p>
      <w:pPr>
        <w:pStyle w:val="Heading3"/>
      </w:pPr>
      <w:r>
        <w:t>Rechtliche Wuerdigung</w:t>
      </w:r>
    </w:p>
    <w:p>
      <w:r>
        <w:t>Die rechtliche Wuerdigung dieses Falles erfolgt durch die mandatierte Kanzlei (Lokale Kanzlei: Mueller &amp; Partner Heilbronn) im Einklang mit den einschlaegigen Vorschriften des materiellen und prozessualen Rechts. Im Wesentlichen wird auf die Schluessigkeit der Anspruchsgrundlagen, Verjaehrungsfragen, einschlaegige Rechtsprechung der Berufungsgerichte sowie die Beweissituation abgestellt. Bei Schriftsatz-Aktentypen gelten die jeweiligen formellen Voraussetzungen (Schriftform, Fristen, Begruendungspflichten).</w:t>
      </w:r>
    </w:p>
    <w:p>
      <w:pPr>
        <w:pStyle w:val="Heading3"/>
      </w:pPr>
      <w:r>
        <w:t>Aktueller Verfahrensstand</w:t>
      </w:r>
    </w:p>
    <w:p>
      <w:r>
        <w:t>Stand zum Aktendatum: Schriftsatz vom 2022; weiteres Verfahren wie folgt: Sofern Schriftsatz, wird auf den naechsten Termin / die Erwiderungsfrist verwiesen. Sofern Urteil, wird die Rechtsmittelfrist und ggf. Berufungsentscheidung benannt. Sofern Vergleich, gilt die Abgeltungswirkung und Geheimhaltung. Sofern Widerspruch, wird auf die Bescheidung durch die Behoerde gewartet. Sofern Mahnbescheid, ist Widerspruchsfrist zu beachten. Sofern Behoerdenschreiben, ist die Antwort fristgerecht erfolgt.</w:t>
      </w:r>
    </w:p>
    <w:p>
      <w:pPr>
        <w:pStyle w:val="Heading3"/>
      </w:pPr>
      <w:r>
        <w:t>Risikobewertung / Rueckstellung (IAS 37)</w:t>
      </w:r>
    </w:p>
    <w:p>
      <w:r>
        <w:t>Die Rueckstellungs- und Reserven-Hoehe ist im Einklang mit IAS 37 (Provisions, Contingent Liabilities and Contingent Assets) zu beurteilen. Erfolgsaussicht und Schadens-Cap werden jaehrlich (bzw. quartalsweise bei wesentlichen Aenderungen) im Litigation-Tracker (»REA_Rechtsstreitigkeitsregister_2024.xlsx«) erfasst und mit der Kanzlei abgestimmt.</w:t>
      </w:r>
    </w:p>
    <w:p>
      <w:pPr>
        <w:pStyle w:val="Heading3"/>
      </w:pPr>
      <w:r>
        <w:t>Empfehlung und naechste Schritte</w:t>
      </w:r>
    </w:p>
    <w:p>
      <w:r>
        <w:t>Empfehlungen der mandatierten Kanzlei werden in Abstimmung mit dem Konzern-Legal (General Counsel / Compliance Officer) umgesetzt. Eskalation an Vorstand (CFO) erfolgt bei Streitwerten / Ergebniswirkungen &gt; 250 kEUR oder reputativer Relevanz.</w:t>
      </w:r>
    </w:p>
    <w:p>
      <w:pPr>
        <w:pStyle w:val="Heading3"/>
      </w:pPr>
      <w:r>
        <w:t>Vertraulichkeit</w:t>
      </w:r>
    </w:p>
    <w:p>
      <w:r>
        <w:t>Diese Akte unterliegt der anwaltlichen Verschwiegenheit (§ 43a BRAO) sowie dem Mandatsgeheimnis. Weitergabe ausschliesslich an autorisierte interne Personen sowie an den externen Wirtschaftspruefer (KPMG) im Rahmen der Litigation-Letter-Anfrage.</w:t>
      </w:r>
    </w:p>
    <w:p>
      <w:pPr>
        <w:pStyle w:val="Heading3"/>
      </w:pPr>
      <w:r>
        <w:t>Unterschrift</w:t>
      </w:r>
    </w:p>
    <w:p>
      <w:r>
        <w:t>Ort, Datum: Frankfurt, den 2022</w:t>
      </w:r>
    </w:p>
    <w:p>
      <w:r>
        <w:t>_________________________            _________________________</w:t>
        <w:br/>
        <w:t>Lokale Kanzlei: Mueller &amp; Partner Heilbronn                          Dr. Constanze Behrens</w:t>
        <w:br/>
        <w:t>mandatierte Rechtsvertretung                          Compliance Officer (extern)</w:t>
        <w:br/>
        <w:t>Kanzlei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