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Schriftsatz – Behoerdenschreiben BAFA Dual-Use</w:t>
      </w:r>
    </w:p>
    <w:p>
      <w:pPr>
        <w:jc w:val="center"/>
      </w:pPr>
      <w:r>
        <w:t>Aktenzeichen BAFA Aktenzeichen 81-DL-2022/4521 – 2022</w:t>
      </w:r>
    </w:p>
    <w:p/>
    <w:p>
      <w:pPr>
        <w:pStyle w:val="Heading3"/>
      </w:pPr>
      <w:r>
        <w:t>Sache / Aktenzeichen</w:t>
      </w:r>
    </w:p>
    <w:p>
      <w:r>
        <w:t>Fall: Behoerdenschreiben BAFA Dual-Use</w:t>
      </w:r>
    </w:p>
    <w:p>
      <w:r>
        <w:t>Aktenzeichen: BAFA Aktenzeichen 81-DL-2022/4521</w:t>
      </w:r>
    </w:p>
    <w:p>
      <w:r>
        <w:t>Aktentyp: Schriftsatz (2022)</w:t>
      </w:r>
    </w:p>
    <w:p>
      <w:r>
        <w:t>Vertretung Brennhagen: Group Tax / BAFA-Beauftragte Dr. Heike Berger</w:t>
      </w:r>
    </w:p>
    <w:p>
      <w:r>
        <w:t>Konzern-Compliance: Dr. Constanze Behrens (Hengeler Mueller)</w:t>
      </w:r>
    </w:p>
    <w:p>
      <w:pPr>
        <w:pStyle w:val="Heading3"/>
      </w:pPr>
      <w:r>
        <w:t>Sachverhalt</w:t>
      </w:r>
    </w:p>
    <w:p>
      <w:r>
        <w:t>Schreiben BAFA Eschborn: Anfrage zu Endverwendung ECU-900 mit Lieferung nach Vietnam; Brennhagen hat Antrag auf Ausfuhrgenehmigung mit End-User-Statement und Endverbleibserklaerung eingereicht; Klassifizierungsfrage Annex I Kat. 3A.</w:t>
      </w:r>
    </w:p>
    <w:p>
      <w:pPr>
        <w:pStyle w:val="Heading3"/>
      </w:pPr>
      <w:r>
        <w:t>Rechtliche Wuerdigung</w:t>
      </w:r>
    </w:p>
    <w:p>
      <w:r>
        <w:t>Die rechtliche Wuerdigung dieses Falles erfolgt durch die mandatierte Kanzlei (Group Tax / BAFA-Beauftragte Dr. Heike Berger) im Einklang mit den einschlaegigen Vorschriften des materiellen und prozessualen Rechts. Im Wesentlichen wird auf die Schluessigkeit der Anspruchsgrundlagen, Verjaehrungsfragen, einschlaegige Rechtsprechung der Berufungsgerichte sowie die Beweissituation abgestellt. Bei Schriftsatz-Aktentypen gelten die jeweiligen formellen Voraussetzungen (Schriftform, Fristen, Begruendungspflichten).</w:t>
      </w:r>
    </w:p>
    <w:p>
      <w:pPr>
        <w:pStyle w:val="Heading3"/>
      </w:pPr>
      <w:r>
        <w:t>Aktueller Verfahrensstand</w:t>
      </w:r>
    </w:p>
    <w:p>
      <w:r>
        <w:t>Stand zum Aktendatum: Schriftsatz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Group Tax / BAFA-Beauftragte Dr. Heike Berger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