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Vergleich – Patentstreit ICP-3-Schnittstelle</w:t>
      </w:r>
    </w:p>
    <w:p>
      <w:pPr>
        <w:jc w:val="center"/>
      </w:pPr>
      <w:r>
        <w:t>Aktenzeichen OLG Duesseldorf, Aktenzeichen I-2 U 78/23 – 2023</w:t>
      </w:r>
    </w:p>
    <w:p/>
    <w:p>
      <w:pPr>
        <w:pStyle w:val="Heading3"/>
      </w:pPr>
      <w:r>
        <w:t>Sache / Aktenzeichen</w:t>
      </w:r>
    </w:p>
    <w:p>
      <w:r>
        <w:t>Fall: Patentstreit ICP-3-Schnittstelle</w:t>
      </w:r>
    </w:p>
    <w:p>
      <w:r>
        <w:t>Aktenzeichen: OLG Duesseldorf, Aktenzeichen I-2 U 78/23</w:t>
      </w:r>
    </w:p>
    <w:p>
      <w:r>
        <w:t>Aktentyp: Vergleich (2023)</w:t>
      </w:r>
    </w:p>
    <w:p>
      <w:r>
        <w:t>Vertretung Brennhagen: Hengeler Mueller (Patent: Dr. Christoph Voelker)</w:t>
      </w:r>
    </w:p>
    <w:p>
      <w:r>
        <w:t>Konzern-Compliance: Dr. Constanze Behrens (Hengeler Mueller)</w:t>
      </w:r>
    </w:p>
    <w:p>
      <w:pPr>
        <w:pStyle w:val="Heading3"/>
      </w:pPr>
      <w:r>
        <w:t>Sachverhalt</w:t>
      </w:r>
    </w:p>
    <w:p>
      <w:r>
        <w:t>Patentverletzungsklage; Beklagte Brennhagen Elektronik AG; Klaegerin Tech-Patents Holdings LLC (USA); behauptete Verletzung EP 2 845 678 (»Audio-Bus-Synchronisationsverfahren«); Brennhagen macht Nichtigkeitseinrede geltend.</w:t>
      </w:r>
    </w:p>
    <w:p>
      <w:pPr>
        <w:pStyle w:val="Heading3"/>
      </w:pPr>
      <w:r>
        <w:t>Rechtliche Wuerdigung</w:t>
      </w:r>
    </w:p>
    <w:p>
      <w:r>
        <w:t>Die rechtliche Wuerdigung dieses Falles erfolgt durch die mandatierte Kanzlei (Hengeler Mueller (Patent: Dr. Christoph Voelker)) im Einklang mit den einschlaegigen Vorschriften des materiellen und prozessualen Rechts. Im Wesentlichen wird auf die Schluessigkeit der Anspruchsgrundlagen, Verjaehrungsfragen, einschlaegige Rechtsprechung der Berufungsgerichte sowie die Beweissituation abgestellt. Bei Vergleich-Aktentypen gelten die jeweiligen formellen Voraussetzungen (Schriftform, Fristen, Begruendungspflichten).</w:t>
      </w:r>
    </w:p>
    <w:p>
      <w:pPr>
        <w:pStyle w:val="Heading3"/>
      </w:pPr>
      <w:r>
        <w:t>Aktueller Verfahrensstand</w:t>
      </w:r>
    </w:p>
    <w:p>
      <w:r>
        <w:t>Stand zum Aktendatum: Vergleich vom 2023;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2023</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