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Schriftsatz – Urteilsauszug Lieferantenstreit</w:t>
      </w:r>
    </w:p>
    <w:p>
      <w:pPr>
        <w:jc w:val="center"/>
      </w:pPr>
      <w:r>
        <w:t>Aktenzeichen LG Stuttgart, Az. 12 O 145/22; Berufung OLG Stuttgart Az. 7 U 92/23 – 2023</w:t>
      </w:r>
    </w:p>
    <w:p/>
    <w:p>
      <w:pPr>
        <w:pStyle w:val="Heading3"/>
      </w:pPr>
      <w:r>
        <w:t>Sache / Aktenzeichen</w:t>
      </w:r>
    </w:p>
    <w:p>
      <w:r>
        <w:t>Fall: Urteilsauszug Lieferantenstreit</w:t>
      </w:r>
    </w:p>
    <w:p>
      <w:r>
        <w:t>Aktenzeichen: LG Stuttgart, Az. 12 O 145/22; Berufung OLG Stuttgart Az. 7 U 92/23</w:t>
      </w:r>
    </w:p>
    <w:p>
      <w:r>
        <w:t>Aktentyp: Schriftsatz (2023)</w:t>
      </w:r>
    </w:p>
    <w:p>
      <w:r>
        <w:t>Vertretung Brennhagen: Hengeler Mueller</w:t>
      </w:r>
    </w:p>
    <w:p>
      <w:r>
        <w:t>Konzern-Compliance: Dr. Constanze Behrens (Hengeler Mueller)</w:t>
      </w:r>
    </w:p>
    <w:p>
      <w:pPr>
        <w:pStyle w:val="Heading3"/>
      </w:pPr>
      <w:r>
        <w:t>Sachverhalt</w:t>
      </w:r>
    </w:p>
    <w:p>
      <w:r>
        <w:t>Urteil LG Stuttgart vom 14.3.2023, Az. 12 O 145/22: Beklagte Steckverbinder Mueller GmbH wird verurteilt, an Klaegerin REG EUR 145.700 nebst Zinsen 5 %-Punkte ueber BZ ab 15.5.2022 zu zahlen; Berufung der Beklagten anhaengig OLG Stuttgart.</w:t>
      </w:r>
    </w:p>
    <w:p>
      <w:pPr>
        <w:pStyle w:val="Heading3"/>
      </w:pPr>
      <w:r>
        <w:t>Rechtliche Wuerdigung</w:t>
      </w:r>
    </w:p>
    <w:p>
      <w:r>
        <w:t>Die rechtliche Wuerdigung dieses Falles erfolgt durch die mandatierte Kanzlei (Hengeler Mueller) im Einklang mit den einschlaegigen Vorschriften des materiellen und prozessualen Rechts. Im Wesentlichen wird auf die Schluessigkeit der Anspruchsgrundlagen, Verjaehrungsfragen, einschlaegige Rechtsprechung der Berufungsgerichte sowie die Beweissituation abgestellt. Bei Schriftsatz-Aktentypen gelten die jeweiligen formellen Voraussetzungen (Schriftform, Fristen, Begruendungspflichten).</w:t>
      </w:r>
    </w:p>
    <w:p>
      <w:pPr>
        <w:pStyle w:val="Heading3"/>
      </w:pPr>
      <w:r>
        <w:t>Aktueller Verfahrensstand</w:t>
      </w:r>
    </w:p>
    <w:p>
      <w:r>
        <w:t>Stand zum Aktendatum: Schriftsatz vom 2023;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2023</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