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Widerspruch – Vergleich D&amp;O-Schaden</w:t>
      </w:r>
    </w:p>
    <w:p>
      <w:pPr>
        <w:jc w:val="center"/>
      </w:pPr>
      <w:r>
        <w:t>Aktenzeichen Allianz Schadennummer DO-2022-451 – 2023</w:t>
      </w:r>
    </w:p>
    <w:p/>
    <w:p>
      <w:pPr>
        <w:pStyle w:val="Heading3"/>
      </w:pPr>
      <w:r>
        <w:t>Sache / Aktenzeichen</w:t>
      </w:r>
    </w:p>
    <w:p>
      <w:r>
        <w:t>Fall: Vergleich D&amp;O-Schaden</w:t>
      </w:r>
    </w:p>
    <w:p>
      <w:r>
        <w:t>Aktenzeichen: Allianz Schadennummer DO-2022-451</w:t>
      </w:r>
    </w:p>
    <w:p>
      <w:r>
        <w:t>Aktentyp: Widerspruch (2023)</w:t>
      </w:r>
    </w:p>
    <w:p>
      <w:r>
        <w:t>Vertretung Brennhagen: Hengeler Mueller (D&amp;O: Dr. Schramm)</w:t>
      </w:r>
    </w:p>
    <w:p>
      <w:r>
        <w:t>Konzern-Compliance: Dr. Constanze Behrens (Hengeler Mueller)</w:t>
      </w:r>
    </w:p>
    <w:p>
      <w:pPr>
        <w:pStyle w:val="Heading3"/>
      </w:pPr>
      <w:r>
        <w:t>Sachverhalt</w:t>
      </w:r>
    </w:p>
    <w:p>
      <w:r>
        <w:t>Vergleich ueber D&amp;O-Versicherungsleistung Allianz GCS in Hoehe von 2,1 Mio. EUR zur Abgeltung etwaiger Pflichtverletzungs-Ansprueche gegen ein ehemaliges Vorstandsmitglied; Geheimhaltung; Verzicht der Gesellschaft auf weitergehende Ansprueche.</w:t>
      </w:r>
    </w:p>
    <w:p>
      <w:pPr>
        <w:pStyle w:val="Heading3"/>
      </w:pPr>
      <w:r>
        <w:t>Rechtliche Wuerdigung</w:t>
      </w:r>
    </w:p>
    <w:p>
      <w:r>
        <w:t>Die rechtliche Wuerdigung dieses Falles erfolgt durch die mandatierte Kanzlei (Hengeler Mueller (D&amp;O: Dr. Schramm)) im Einklang mit den einschlaegigen Vorschriften des materiellen und prozessualen Rechts. Im Wesentlichen wird auf die Schluessigkeit der Anspruchsgrundlagen, Verjaehrungsfragen, einschlaegige Rechtsprechung der Berufungsgerichte sowie die Beweissituation abgestellt. Bei Widerspruch-Aktentypen gelten die jeweiligen formellen Voraussetzungen (Schriftform, Fristen, Begruendungspflichten).</w:t>
      </w:r>
    </w:p>
    <w:p>
      <w:pPr>
        <w:pStyle w:val="Heading3"/>
      </w:pPr>
      <w:r>
        <w:t>Aktueller Verfahrensstand</w:t>
      </w:r>
    </w:p>
    <w:p>
      <w:r>
        <w:t>Stand zum Aktendatum: Widerspruch vom 2023;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2023</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