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Prag Logistics Services s.r.o.</w:t>
      </w:r>
    </w:p>
    <w:p>
      <w:pPr>
        <w:jc w:val="center"/>
      </w:pPr>
      <w:r>
        <w:t>TPDD-Akte 2022-008</w:t>
      </w:r>
    </w:p>
    <w:p/>
    <w:p>
      <w:pPr>
        <w:pStyle w:val="Heading3"/>
      </w:pPr>
      <w:r>
        <w:t>Aktenzeichen und Auftrag</w:t>
      </w:r>
    </w:p>
    <w:p>
      <w:r>
        <w:t>Aktenzeichen: TPDD-2022-008.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Prag Logistics Services s.r.o.</w:t>
      </w:r>
    </w:p>
    <w:p>
      <w:r>
        <w:t>Sitz: Prag (CZ)</w:t>
      </w:r>
    </w:p>
    <w:p>
      <w:r>
        <w:t>Geplanter Geschaeftszweck: Logistik-Dienstleister Werk RCZ</w:t>
      </w:r>
    </w:p>
    <w:p>
      <w:r>
        <w:t>Kategorie: Logistik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(Prag Logistics Services s.r.o.)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Niedrig (EU/CZ, Standardrisiken).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2022-XX-XX.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