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Krakow Trade Services Sp. z o.o.</w:t>
      </w:r>
    </w:p>
    <w:p>
      <w:pPr>
        <w:jc w:val="center"/>
      </w:pPr>
      <w:r>
        <w:t>TPDD-Akte 2022-018</w:t>
      </w:r>
    </w:p>
    <w:p/>
    <w:p>
      <w:pPr>
        <w:pStyle w:val="Heading3"/>
      </w:pPr>
      <w:r>
        <w:t>Aktenzeichen und Auftrag</w:t>
      </w:r>
    </w:p>
    <w:p>
      <w:r>
        <w:t>Aktenzeichen: TPDD-2022-018.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Krakow Trade Services Sp. z o.o.</w:t>
      </w:r>
    </w:p>
    <w:p>
      <w:r>
        <w:t>Sitz: Krakau (PL)</w:t>
      </w:r>
    </w:p>
    <w:p>
      <w:r>
        <w:t>Geplanter Geschaeftszweck: Trade-Services Mittel-Osteuropa</w:t>
      </w:r>
    </w:p>
    <w:p>
      <w:r>
        <w:t>Kategorie: Vertrieb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(Krakow Trade Services Sp. z o.o.)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Niedrig-Mittel (EU/PL, Standardrisiken).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2022-XX-XX.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