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Bratislava Industrial Brokers s.r.o.</w:t>
      </w:r>
    </w:p>
    <w:p>
      <w:pPr>
        <w:jc w:val="center"/>
      </w:pPr>
      <w:r>
        <w:t>TPDD-Akte 2023-003</w:t>
      </w:r>
    </w:p>
    <w:p/>
    <w:p>
      <w:pPr>
        <w:pStyle w:val="Heading3"/>
      </w:pPr>
      <w:r>
        <w:t>Aktenzeichen und Auftrag</w:t>
      </w:r>
    </w:p>
    <w:p>
      <w:r>
        <w:t>Aktenzeichen: TPDD-2023-003.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Bratislava Industrial Brokers s.r.o.</w:t>
      </w:r>
    </w:p>
    <w:p>
      <w:r>
        <w:t>Sitz: Bratislava (SK)</w:t>
      </w:r>
    </w:p>
    <w:p>
      <w:r>
        <w:t>Geplanter Geschaeftszweck: Vermittler EU-Aftermarket</w:t>
      </w:r>
    </w:p>
    <w:p>
      <w:r>
        <w:t>Kategorie: Vermittler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(Bratislava Industrial Brokers s.r.o.)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Niedrig (EU-Mitglied, geringe Geografie-Risiken).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