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Madrid Industrial Reps S.L.</w:t>
      </w:r>
    </w:p>
    <w:p>
      <w:pPr>
        <w:jc w:val="center"/>
      </w:pPr>
      <w:r>
        <w:t>TPDD-Akte 2023-013</w:t>
      </w:r>
    </w:p>
    <w:p/>
    <w:p>
      <w:pPr>
        <w:pStyle w:val="Heading3"/>
      </w:pPr>
      <w:r>
        <w:t>Aktenzeichen und Auftrag</w:t>
      </w:r>
    </w:p>
    <w:p>
      <w:r>
        <w:t>Aktenzeichen: TPDD-2023-013.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Madrid Industrial Reps S.L.</w:t>
      </w:r>
    </w:p>
    <w:p>
      <w:r>
        <w:t>Sitz: Madrid (ES)</w:t>
      </w:r>
    </w:p>
    <w:p>
      <w:r>
        <w:t>Geplanter Geschaeftszweck: Vertrieb Iberische Halbinsel</w:t>
      </w:r>
    </w:p>
    <w:p>
      <w:r>
        <w:t>Kategorie: Vertrieb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(Madrid Industrial Reps S.L.)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Niedrig (EU/ES, Standardrisiken).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2023-XX-XX.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2023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