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Third-Party-Due-Diligence – Shenzhen Components Trading Co.</w:t>
      </w:r>
    </w:p>
    <w:p>
      <w:pPr>
        <w:jc w:val="center"/>
      </w:pPr>
      <w:r>
        <w:t>TPDD-Akte 2023-019</w:t>
      </w:r>
    </w:p>
    <w:p/>
    <w:p>
      <w:pPr>
        <w:pStyle w:val="Heading3"/>
      </w:pPr>
      <w:r>
        <w:t>Aktenzeichen und Auftrag</w:t>
      </w:r>
    </w:p>
    <w:p>
      <w:r>
        <w:t>Aktenzeichen: TPDD-2023-019. Auftrag durch Konzern-Compliance (Dr. Constanze Behrens) im Rahmen des Third-Party-Due-Diligence-Verfahrens (TPDD). Zweck: Risikobewertung vor Aufnahme einer Geschaeftsbeziehung mit dem genannten externen Partner gemaess Konzern-Anti-Korruptions-Richtlinie (Ziff. § 5 Vertriebsagenten, Berater, Joint Ventures) sowie LkSG-Anforderungen.</w:t>
      </w:r>
    </w:p>
    <w:p>
      <w:pPr>
        <w:pStyle w:val="Heading3"/>
      </w:pPr>
      <w:r>
        <w:t>Geschaeftspartner</w:t>
      </w:r>
    </w:p>
    <w:p>
      <w:r>
        <w:t>Name: Shenzhen Components Trading Co.</w:t>
      </w:r>
    </w:p>
    <w:p>
      <w:r>
        <w:t>Sitz: Shenzhen (CN)</w:t>
      </w:r>
    </w:p>
    <w:p>
      <w:r>
        <w:t>Geplanter Geschaeftszweck: Halbleiter-/Komponenten-Trading</w:t>
      </w:r>
    </w:p>
    <w:p>
      <w:r>
        <w:t>Kategorie: Vertrieb</w:t>
      </w:r>
    </w:p>
    <w:p>
      <w:pPr>
        <w:pStyle w:val="Heading3"/>
      </w:pPr>
      <w:r>
        <w:t>Pruefumfang und Datenquellen</w:t>
      </w:r>
    </w:p>
    <w:p>
      <w:pPr>
        <w:pStyle w:val="ListBullet"/>
      </w:pPr>
      <w:r>
        <w:t>Handelsregisterauszug / Konzernstrukturauswertung (Local Counsel / Dun &amp; Bradstreet)</w:t>
      </w:r>
    </w:p>
    <w:p>
      <w:pPr>
        <w:pStyle w:val="ListBullet"/>
      </w:pPr>
      <w:r>
        <w:t>ComplyCube-Sanktions-/PEP-/Adverse-Media-Screening</w:t>
      </w:r>
    </w:p>
    <w:p>
      <w:pPr>
        <w:pStyle w:val="ListBullet"/>
      </w:pPr>
      <w:r>
        <w:t>Beneficial-Ownership-Auswertung (UBO, Ultimate Beneficial Owner)</w:t>
      </w:r>
    </w:p>
    <w:p>
      <w:pPr>
        <w:pStyle w:val="ListBullet"/>
      </w:pPr>
      <w:r>
        <w:t>Reputations-Recherche (Negativberichterstattung, Strafverfahren)</w:t>
      </w:r>
    </w:p>
    <w:p>
      <w:pPr>
        <w:pStyle w:val="ListBullet"/>
      </w:pPr>
      <w:r>
        <w:t>ABC-Questionnaire (selbstauskunft des Partners)</w:t>
      </w:r>
    </w:p>
    <w:p>
      <w:pPr>
        <w:pStyle w:val="ListBullet"/>
      </w:pPr>
      <w:r>
        <w:t>Compliance-Audit-Berichte (sofern vom Partner verfuegbar)</w:t>
      </w:r>
    </w:p>
    <w:p>
      <w:pPr>
        <w:pStyle w:val="Heading3"/>
      </w:pPr>
      <w:r>
        <w:t>Befunde</w:t>
      </w:r>
    </w:p>
    <w:p>
      <w:pPr>
        <w:pStyle w:val="ListBullet"/>
      </w:pPr>
      <w:r>
        <w:t>Identitaet und Konzernstruktur des Partners (Shenzhen Components Trading Co.) ueber Handelsregister bestaetigt</w:t>
      </w:r>
    </w:p>
    <w:p>
      <w:pPr>
        <w:pStyle w:val="ListBullet"/>
      </w:pPr>
      <w:r>
        <w:t>Sanktionslisten-Screening EU/UN/OFAC/HMT: keine Treffer (zum Stichtag)</w:t>
      </w:r>
    </w:p>
    <w:p>
      <w:pPr>
        <w:pStyle w:val="ListBullet"/>
      </w:pPr>
      <w:r>
        <w:t>Adverse Media: keine substantiierten negativen Meldungen identifiziert</w:t>
      </w:r>
    </w:p>
    <w:p>
      <w:pPr>
        <w:pStyle w:val="ListBullet"/>
      </w:pPr>
      <w:r>
        <w:t>UBO offengelegt; Auswirkungen auf Sanktions-/PEP-Status keine</w:t>
      </w:r>
    </w:p>
    <w:p>
      <w:pPr>
        <w:pStyle w:val="ListBullet"/>
      </w:pPr>
      <w:r>
        <w:t>ABC-Questionnaire vollstaendig ausgefuellt; keine kritischen Selbstangaben</w:t>
      </w:r>
    </w:p>
    <w:p>
      <w:pPr>
        <w:pStyle w:val="ListBullet"/>
      </w:pPr>
      <w:r>
        <w:t>Branchenuebliche Reputations-Recherche unauffaellig</w:t>
      </w:r>
    </w:p>
    <w:p>
      <w:pPr>
        <w:pStyle w:val="Heading3"/>
      </w:pPr>
      <w:r>
        <w:t>Risikoeinstufung</w:t>
      </w:r>
    </w:p>
    <w:p>
      <w:r>
        <w:t>Gesamtrisiko: Mittel-Hoch (CN-Halbleiter-Embargo-Risiken). Empfehlung: Aufnahme der Geschaeftsbeziehung freigegeben unter Auflagen (Compliance-Klausel im Vertrag verbindlich; Provision/Honorar marktgerecht und Erfolgsnachweis-gebunden; Audit-Right zugunsten Brennhagen; Termination-on-Breach-Klausel; Schulung des Partners zu Anti-Korruption; Re-Screening jaehrlich).</w:t>
      </w:r>
    </w:p>
    <w:p>
      <w:pPr>
        <w:pStyle w:val="Heading3"/>
      </w:pPr>
      <w:r>
        <w:t>Vertragliche Auflagen</w:t>
      </w:r>
    </w:p>
    <w:p>
      <w:pPr>
        <w:pStyle w:val="Heading4"/>
      </w:pPr>
      <w:r>
        <w:t>§ 1 Compliance-Klausel</w:t>
      </w:r>
    </w:p>
    <w:p>
      <w:r>
        <w:rPr>
          <w:b/>
        </w:rPr>
        <w:t xml:space="preserve">(1) </w:t>
      </w:r>
      <w:r>
        <w:t>Im Vertrag mit dem Partner sind die Konzern-Standardklauseln zu Anti-Korruption, Sanktionen, LkSG-Sorgfaltspflichten und Datenschutz aufzunehmen.</w:t>
      </w:r>
    </w:p>
    <w:p>
      <w:pPr>
        <w:pStyle w:val="Heading4"/>
      </w:pPr>
      <w:r>
        <w:t>§ 2 Audit-Right</w:t>
      </w:r>
    </w:p>
    <w:p>
      <w:r>
        <w:rPr>
          <w:b/>
        </w:rPr>
        <w:t xml:space="preserve">(1) </w:t>
      </w:r>
      <w:r>
        <w:t>Recht von Brennhagen zur einseitigen Pruefung (Books-and-Records-Klausel) mind. einmal pro Jahr fuer die Vertragsdauer plus 3 Jahre.</w:t>
      </w:r>
    </w:p>
    <w:p>
      <w:pPr>
        <w:pStyle w:val="Heading4"/>
      </w:pPr>
      <w:r>
        <w:t>§ 3 Re-Screening und Monitoring</w:t>
      </w:r>
    </w:p>
    <w:p>
      <w:r>
        <w:rPr>
          <w:b/>
        </w:rPr>
        <w:t xml:space="preserve">(1) </w:t>
      </w:r>
      <w:r>
        <w:t>Jaehrliches Re-Screening durch ComplyCube; Anlassbezogenes Re-Screening bei wesentlichen Aenderungen (UBO, Adverse Media, Sanktionslistenaenderungen).</w:t>
      </w:r>
    </w:p>
    <w:p>
      <w:pPr>
        <w:pStyle w:val="Heading3"/>
      </w:pPr>
      <w:r>
        <w:t>Freigabe</w:t>
      </w:r>
    </w:p>
    <w:p>
      <w:r>
        <w:t>Empfehlung Compliance: Freigabe mit Auflagen. Eskalation an CO Dr. Constanze Behrens: erfolgt am 2023-XX-XX. Final-Freigabe durch CFO Laura Bauer fuer Verguetungs-Cap &gt;= 100 kEUR p. a. erforderlich. Re-TPDD: 12 Monate.</w:t>
      </w:r>
    </w:p>
    <w:p>
      <w:pPr>
        <w:pStyle w:val="Heading3"/>
      </w:pPr>
      <w:r>
        <w:t>Unterschriften</w:t>
      </w:r>
    </w:p>
    <w:p>
      <w:r>
        <w:t>Ort, Datum: Stuttgart, den 30. Juni 2023</w:t>
      </w:r>
    </w:p>
    <w:p>
      <w:r>
        <w:t>_________________________            _________________________</w:t>
        <w:br/>
        <w:t>Dr. Constanze Behrens                          Laura Bauer</w:t>
        <w:br/>
        <w:t>Compliance Officer (extern)                          CFO</w:t>
        <w:br/>
        <w:t>Hengeler Mueller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