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Lindwurmstrasse 88, 80337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- Bjoern Franke (Compliance Officer)</w:t>
      </w:r>
    </w:p>
    <w:p>
      <w:pPr>
        <w:jc w:val="center"/>
      </w:pPr>
      <w:r>
        <w:t>Brennhagen Software GmbH / Compliance Officer</w:t>
      </w:r>
    </w:p>
    <w:p/>
    <w:p>
      <w:pPr>
        <w:pStyle w:val="Heading3"/>
      </w:pPr>
      <w:r>
        <w:t>Vertragsparteien</w:t>
      </w:r>
    </w:p>
    <w:p>
      <w:r>
        <w:t>Diese Vereinbarung wird abgeschlossen zwischen</w:t>
      </w:r>
    </w:p>
    <w:p>
      <w:r>
        <w:t>Brennhagen Software GmbH, Lindwurmstrasse 88, 80337 Muenchen, eingetragen im HRB 319872, Amtsgericht Muenchen, vertreten durch den Geschaeftsfuehrer Dr. Klaus Kessler (im Folgenden 'Arbeitgeberin')</w:t>
      </w:r>
    </w:p>
    <w:p>
      <w:r>
        <w:t>und</w:t>
      </w:r>
    </w:p>
    <w:p>
      <w:r>
        <w:t>Herrn Bjoern Franke, geb. 1985, wohnhaft Lindwurmstrasse 142, 80337 Muenchen (im Folgenden 'Arbeitnehmer').</w:t>
      </w:r>
    </w:p>
    <w:p>
      <w:pPr>
        <w:pStyle w:val="Heading3"/>
      </w:pPr>
      <w:r>
        <w:t>Praeambel</w:t>
      </w:r>
    </w:p>
    <w:p>
      <w:r>
        <w:t>Die Brennhagen Software GmbH ist die fuer ADAS und Embedded Software zustaendige Tochtergesellschaft der Brennhagen Elektronik AG (Konzern, Sitz Stuttgart). Sie verstaerkt zum 01.01.2020 die Compliance- und Internal-Audit-Funktion im Hinblick auf die geplante Boersennotierung der Konzernmutter sowie die wachsenden regulatorischen Anforderungen (CRA, NIS-2, DSGVO, IFRS, IATF, TISAX). Der Arbeitnehmer wurde nach umfassendem Auswahlverfahren ausgewaehlt.</w:t>
      </w:r>
    </w:p>
    <w:p>
      <w:pPr>
        <w:pStyle w:val="Heading3"/>
      </w:pPr>
      <w:r>
        <w:t>§§</w:t>
      </w:r>
    </w:p>
    <w:p>
      <w:pPr>
        <w:pStyle w:val="Heading4"/>
      </w:pPr>
      <w:r>
        <w:t>§ 1 Beginn und Probezeit</w:t>
      </w:r>
    </w:p>
    <w:p>
      <w:r>
        <w:rPr>
          <w:b/>
        </w:rPr>
        <w:t xml:space="preserve">(1) </w:t>
      </w:r>
      <w:r>
        <w:t>Das Arbeitsverhaeltnis beginnt am 1. Januar 2020 und wird unbefristet abgeschlossen. Die Probezeit betraegt sechs Monate.</w:t>
      </w:r>
    </w:p>
    <w:p>
      <w:r>
        <w:rPr>
          <w:b/>
        </w:rPr>
        <w:t xml:space="preserve">(2) </w:t>
      </w:r>
      <w:r>
        <w:t>Waehrend der Probezeit kann das Arbeitsverhaeltnis mit einer Frist von zwei Wochen gekuendigt werden.</w:t>
      </w:r>
    </w:p>
    <w:p>
      <w:pPr>
        <w:pStyle w:val="Heading4"/>
      </w:pPr>
      <w:r>
        <w:t>§ 2 Aufgabengebiet</w:t>
      </w:r>
    </w:p>
    <w:p>
      <w:r>
        <w:rPr>
          <w:b/>
        </w:rPr>
        <w:t xml:space="preserve">(1) </w:t>
      </w:r>
      <w:r>
        <w:t>Der Arbeitnehmer wird als Compliance Officer eingestellt und uebernimmt insbesondere Aufgaben im Compliance-Management-System (CMS), interne Untersuchungen, Hinweisgeber-Bearbeitung, Schulungsmanagement und Beratung der Geschaeftsfuehrung sowie der Konzernrechtsabteilung.</w:t>
      </w:r>
    </w:p>
    <w:p>
      <w:r>
        <w:rPr>
          <w:b/>
        </w:rPr>
        <w:t xml:space="preserve">(2) </w:t>
      </w:r>
      <w:r>
        <w:t>Direkter Berichtsweg an die Geschaeftsfuehrung RSG sowie fachlich an Dr. Maria Hellmig, Konzernrechtsabteilung der Brennhagen Elektronik AG.</w:t>
      </w:r>
    </w:p>
    <w:p>
      <w:pPr>
        <w:pStyle w:val="Heading4"/>
      </w:pPr>
      <w:r>
        <w:t>§ 3 Verguetung</w:t>
      </w:r>
    </w:p>
    <w:p>
      <w:r>
        <w:rPr>
          <w:b/>
        </w:rPr>
        <w:t xml:space="preserve">(1) </w:t>
      </w:r>
      <w:r>
        <w:t>Das Jahresbruttogehalt betraegt EUR 110.000 (in Worten: einhundertzehntausend Euro), zahlbar in zwoelf gleichen Monatsraten zum Monatsende.</w:t>
      </w:r>
    </w:p>
    <w:p>
      <w:r>
        <w:rPr>
          <w:b/>
        </w:rPr>
        <w:t xml:space="preserve">(2) </w:t>
      </w:r>
      <w:r>
        <w:t>Zusaetzlich besteht Anspruch auf einen variablen Bonus bis zu 15 % des Jahresbruttogehalts nach Zielvereinbarung.</w:t>
      </w:r>
    </w:p>
    <w:p>
      <w:pPr>
        <w:pStyle w:val="Heading4"/>
      </w:pPr>
      <w:r>
        <w:t>§ 4 Arbeitszeit, Urlaub, Sonstiges</w:t>
      </w:r>
    </w:p>
    <w:p>
      <w:r>
        <w:rPr>
          <w:b/>
        </w:rPr>
        <w:t xml:space="preserve">(1) </w:t>
      </w:r>
      <w:r>
        <w:t>Die regelmaessige Arbeitszeit betraegt 40 Stunden pro Woche; Mehrarbeit ist mit dem Gehalt abgegolten. Der Jahresurlaub betraegt 30 Arbeitstage.</w:t>
      </w:r>
    </w:p>
    <w:p>
      <w:r>
        <w:rPr>
          <w:b/>
        </w:rPr>
        <w:t xml:space="preserve">(2) </w:t>
      </w:r>
      <w:r>
        <w:t>Es gilt die Konzern-Compliance-Richtlinie, der Verhaltenskodex sowie die Vertraulichkeits-vereinbarung in der jeweils gueltigen Fassung.</w:t>
      </w:r>
    </w:p>
    <w:p>
      <w:pPr>
        <w:pStyle w:val="Heading4"/>
      </w:pPr>
      <w:r>
        <w:t>§ 5 Schlussbestimmungen</w:t>
      </w:r>
    </w:p>
    <w:p>
      <w:r>
        <w:rPr>
          <w:b/>
        </w:rPr>
        <w:t xml:space="preserve">(1) </w:t>
      </w:r>
      <w:r>
        <w:t>Nebenabreden beduerfen der Schriftform. Aenderungen und Ergaenzungen ebenfalls. Sollte eine Bestimmung unwirksam sein, bleibt der uebrige Vertrag wirksam.</w:t>
      </w:r>
    </w:p>
    <w:p>
      <w:pPr>
        <w:pStyle w:val="Heading3"/>
      </w:pPr>
      <w:r>
        <w:t>Unterschriften</w:t>
      </w:r>
    </w:p>
    <w:p>
      <w:r>
        <w:t>Ort, Datum: Muenchen, den 11.12.2019</w:t>
      </w:r>
    </w:p>
    <w:p>
      <w:r>
        <w:t>_________________________            _________________________</w:t>
        <w:br/>
        <w:t>Bjoern Franke                          Dr. Klaus Kessler</w:t>
        <w:br/>
        <w:t>Compliance Officer                          Geschaeftsfuehrer</w:t>
        <w:br/>
        <w:t>—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