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Engineering Change Order ECO-2022-012 - ECU-900 LDO-Wechsel</w:t>
      </w:r>
    </w:p>
    <w:p>
      <w:pPr>
        <w:jc w:val="center"/>
      </w:pPr>
      <w:r>
        <w:t>Powertrain-ECU Gen3 / Multi-Source-Strategie</w:t>
      </w:r>
    </w:p>
    <w:p/>
    <w:p>
      <w:pPr>
        <w:pStyle w:val="Heading3"/>
      </w:pPr>
      <w:r>
        <w:t>ECO-Stammdaten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ECO-Nummer</w:t>
            </w:r>
          </w:p>
        </w:tc>
        <w:tc>
          <w:tcPr>
            <w:tcW w:type="dxa" w:w="4320"/>
          </w:tcPr>
          <w:p>
            <w:r>
              <w:t>ECO-2022-012</w:t>
            </w:r>
          </w:p>
        </w:tc>
      </w:tr>
      <w:tr>
        <w:tc>
          <w:tcPr>
            <w:tcW w:type="dxa" w:w="4320"/>
          </w:tcPr>
          <w:p>
            <w:r>
              <w:t>Produkt</w:t>
            </w:r>
          </w:p>
        </w:tc>
        <w:tc>
          <w:tcPr>
            <w:tcW w:type="dxa" w:w="4320"/>
          </w:tcPr>
          <w:p>
            <w:r>
              <w:t>ECU-900 (Powertrain-ECU Gen3)</w:t>
            </w:r>
          </w:p>
        </w:tc>
      </w:tr>
      <w:tr>
        <w:tc>
          <w:tcPr>
            <w:tcW w:type="dxa" w:w="4320"/>
          </w:tcPr>
          <w:p>
            <w:r>
              <w:t>Aenderungs-Titel</w:t>
            </w:r>
          </w:p>
        </w:tc>
        <w:tc>
          <w:tcPr>
            <w:tcW w:type="dxa" w:w="4320"/>
          </w:tcPr>
          <w:p>
            <w:r>
              <w:t>Wechsel des Spannungsreglers (LDO) auf alternative Bezugsquelle infolge Allokationsengpass</w:t>
            </w:r>
          </w:p>
        </w:tc>
      </w:tr>
      <w:tr>
        <w:tc>
          <w:tcPr>
            <w:tcW w:type="dxa" w:w="4320"/>
          </w:tcPr>
          <w:p>
            <w:r>
              <w:t>Antragsteller</w:t>
            </w:r>
          </w:p>
        </w:tc>
        <w:tc>
          <w:tcPr>
            <w:tcW w:type="dxa" w:w="4320"/>
          </w:tcPr>
          <w:p>
            <w:r>
              <w:t>Andreas Kurz, Lead-Hardware ECU-900</w:t>
            </w:r>
          </w:p>
        </w:tc>
      </w:tr>
      <w:tr>
        <w:tc>
          <w:tcPr>
            <w:tcW w:type="dxa" w:w="4320"/>
          </w:tcPr>
          <w:p>
            <w:r>
              <w:t>Verantwortlich Engineering</w:t>
            </w:r>
          </w:p>
        </w:tc>
        <w:tc>
          <w:tcPr>
            <w:tcW w:type="dxa" w:w="4320"/>
          </w:tcPr>
          <w:p>
            <w:r>
              <w:t>Stefan Hoffmann (CTO, bis 30.06.2024)</w:t>
            </w:r>
          </w:p>
        </w:tc>
      </w:tr>
      <w:tr>
        <w:tc>
          <w:tcPr>
            <w:tcW w:type="dxa" w:w="4320"/>
          </w:tcPr>
          <w:p>
            <w:r>
              <w:t>Antragsdatum</w:t>
            </w:r>
          </w:p>
        </w:tc>
        <w:tc>
          <w:tcPr>
            <w:tcW w:type="dxa" w:w="4320"/>
          </w:tcPr>
          <w:p>
            <w:r>
              <w:t>14.09.2022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freigegeben durch CCB (Change Control Board) am 28.09.2022</w:t>
            </w:r>
          </w:p>
        </w:tc>
      </w:tr>
      <w:tr>
        <w:tc>
          <w:tcPr>
            <w:tcW w:type="dxa" w:w="4320"/>
          </w:tcPr>
          <w:p>
            <w:r>
              <w:t>Kunden-Genehmigung erforderlich</w:t>
            </w:r>
          </w:p>
        </w:tc>
        <w:tc>
          <w:tcPr>
            <w:tcW w:type="dxa" w:w="4320"/>
          </w:tcPr>
          <w:p>
            <w:r>
              <w:t>ja - VW (MEB+/MQB-Evo), Stellantis</w:t>
            </w:r>
          </w:p>
        </w:tc>
      </w:tr>
    </w:tbl>
    <w:p>
      <w:pPr>
        <w:pStyle w:val="Heading3"/>
      </w:pPr>
      <w:r>
        <w:t>1. Anlass der Aenderung</w:t>
      </w:r>
    </w:p>
    <w:p>
      <w:r>
        <w:t>Allokationsengpass beim bisherigen Lieferanten (Texas Instruments TPS7B6933QDBVRQ1, AEC-Q100 Grade 1). Lieferzeiten haben sich auf 52 Wochen erhoeht; alternative Quelle bei Infineon (TLE4972A1H) wurde qualifiziert und ist mit deutlich kuerzeren Lieferzeiten verfuegbar.</w:t>
      </w:r>
    </w:p>
    <w:p>
      <w:pPr>
        <w:pStyle w:val="Heading3"/>
      </w:pPr>
      <w:r>
        <w:t>2. Beschreibung der Aenderung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Element</w:t>
            </w:r>
          </w:p>
        </w:tc>
        <w:tc>
          <w:tcPr>
            <w:tcW w:type="dxa" w:w="2880"/>
          </w:tcPr>
          <w:p>
            <w:r>
              <w:t>Vorher</w:t>
            </w:r>
          </w:p>
        </w:tc>
        <w:tc>
          <w:tcPr>
            <w:tcW w:type="dxa" w:w="2880"/>
          </w:tcPr>
          <w:p>
            <w:r>
              <w:t>Nachher</w:t>
            </w:r>
          </w:p>
        </w:tc>
      </w:tr>
      <w:tr>
        <w:tc>
          <w:tcPr>
            <w:tcW w:type="dxa" w:w="2880"/>
          </w:tcPr>
          <w:p>
            <w:r>
              <w:t>Bauteil</w:t>
            </w:r>
          </w:p>
        </w:tc>
        <w:tc>
          <w:tcPr>
            <w:tcW w:type="dxa" w:w="2880"/>
          </w:tcPr>
          <w:p>
            <w:r>
              <w:t>TI TPS7B6933QDBVRQ1</w:t>
            </w:r>
          </w:p>
        </w:tc>
        <w:tc>
          <w:tcPr>
            <w:tcW w:type="dxa" w:w="2880"/>
          </w:tcPr>
          <w:p>
            <w:r>
              <w:t>Infineon TLE4972A1H</w:t>
            </w:r>
          </w:p>
        </w:tc>
      </w:tr>
      <w:tr>
        <w:tc>
          <w:tcPr>
            <w:tcW w:type="dxa" w:w="2880"/>
          </w:tcPr>
          <w:p>
            <w:r>
              <w:t>AEC-Qual</w:t>
            </w:r>
          </w:p>
        </w:tc>
        <w:tc>
          <w:tcPr>
            <w:tcW w:type="dxa" w:w="2880"/>
          </w:tcPr>
          <w:p>
            <w:r>
              <w:t>Grade 1</w:t>
            </w:r>
          </w:p>
        </w:tc>
        <w:tc>
          <w:tcPr>
            <w:tcW w:type="dxa" w:w="2880"/>
          </w:tcPr>
          <w:p>
            <w:r>
              <w:t>Grade 1</w:t>
            </w:r>
          </w:p>
        </w:tc>
      </w:tr>
      <w:tr>
        <w:tc>
          <w:tcPr>
            <w:tcW w:type="dxa" w:w="2880"/>
          </w:tcPr>
          <w:p>
            <w:r>
              <w:t>Footprint</w:t>
            </w:r>
          </w:p>
        </w:tc>
        <w:tc>
          <w:tcPr>
            <w:tcW w:type="dxa" w:w="2880"/>
          </w:tcPr>
          <w:p>
            <w:r>
              <w:t>SOT-223</w:t>
            </w:r>
          </w:p>
        </w:tc>
        <w:tc>
          <w:tcPr>
            <w:tcW w:type="dxa" w:w="2880"/>
          </w:tcPr>
          <w:p>
            <w:r>
              <w:t>DPAK</w:t>
            </w:r>
          </w:p>
        </w:tc>
      </w:tr>
      <w:tr>
        <w:tc>
          <w:tcPr>
            <w:tcW w:type="dxa" w:w="2880"/>
          </w:tcPr>
          <w:p>
            <w:r>
              <w:t>Layout-Aenderung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PCB Rev D02 -&gt; Rev D03 (Pad-Anpassung)</w:t>
            </w:r>
          </w:p>
        </w:tc>
      </w:tr>
      <w:tr>
        <w:tc>
          <w:tcPr>
            <w:tcW w:type="dxa" w:w="2880"/>
          </w:tcPr>
          <w:p>
            <w:r>
              <w:t>Stuecklisten-Position</w:t>
            </w:r>
          </w:p>
        </w:tc>
        <w:tc>
          <w:tcPr>
            <w:tcW w:type="dxa" w:w="2880"/>
          </w:tcPr>
          <w:p>
            <w:r>
              <w:t>Pos. 24</w:t>
            </w:r>
          </w:p>
        </w:tc>
        <w:tc>
          <w:tcPr>
            <w:tcW w:type="dxa" w:w="2880"/>
          </w:tcPr>
          <w:p>
            <w:r>
              <w:t>Pos. 24 (BoM Update)</w:t>
            </w:r>
          </w:p>
        </w:tc>
      </w:tr>
      <w:tr>
        <w:tc>
          <w:tcPr>
            <w:tcW w:type="dxa" w:w="2880"/>
          </w:tcPr>
          <w:p>
            <w:r>
              <w:t>Hersteller-PN</w:t>
            </w:r>
          </w:p>
        </w:tc>
        <w:tc>
          <w:tcPr>
            <w:tcW w:type="dxa" w:w="2880"/>
          </w:tcPr>
          <w:p>
            <w:r>
              <w:t>TPS7B6933QDBVRQ1</w:t>
            </w:r>
          </w:p>
        </w:tc>
        <w:tc>
          <w:tcPr>
            <w:tcW w:type="dxa" w:w="2880"/>
          </w:tcPr>
          <w:p>
            <w:r>
              <w:t>TLE4972A1H</w:t>
            </w:r>
          </w:p>
        </w:tc>
      </w:tr>
    </w:tbl>
    <w:p>
      <w:pPr>
        <w:pStyle w:val="Heading3"/>
      </w:pPr>
      <w:r>
        <w:t>3. Auswirkungen</w:t>
      </w:r>
    </w:p>
    <w:p>
      <w:r>
        <w:t>Funktionale Eigenschaften (Vout, Iout, Dropout, Temperaturbereich) bleiben in den Spezifikationsgrenzen. EMV- und Funktionssicherheits-Anforderungen (ISO 26262 ASIL D) wurden durch zusaetzlichen FMEA-Review und Testreihe (EMV-Halle Heilbronn, Berichtsnummer EMV-2022-094) bestaetigt. Keine Software-Aenderung. PPAP-Level 3 bei VW (Wolfsburg) und Stellantis (Mulhouse) angefordert.</w:t>
      </w:r>
    </w:p>
    <w:p>
      <w:pPr>
        <w:pStyle w:val="Heading3"/>
      </w:pPr>
      <w:r>
        <w:t>4. Aufwand und Kosten</w:t>
      </w:r>
    </w:p>
    <w:p>
      <w:r>
        <w:t>Aufwand intern: 4 PT Hardware, 2 PT Test, 1 PT QA, 1 PT QM-Dokumentation. Einmalkosten Tools: 0 EUR. Wieder-Qualifizierungs-Kosten (PPAP, EMV): ca. 18.000 EUR. Erwartete Einsparung bei Material: ca. 0,06 EUR / Bauteil, bei ca. 240.000 Stueck p.a. = 14.400 EUR p.a.</w:t>
      </w:r>
    </w:p>
    <w:p>
      <w:pPr>
        <w:pStyle w:val="Heading3"/>
      </w:pPr>
      <w:r>
        <w:t>5. Risiken</w:t>
      </w:r>
    </w:p>
    <w:p>
      <w:r>
        <w:t>Risiko (R1) Wechsel-bedingte Funktionsabweichung - bewertet als gering nach Tests. (R2) OEM-Genehmigung verzoegert sich - Mitigation: parallele PPAP-Bearbeitung mit beiden OEMs. (R3) Multi-Source langfristig sichern - Massnahme: STM-Bauteil als 3. Quelle in 2023 qualifizieren.</w:t>
      </w:r>
    </w:p>
    <w:p>
      <w:pPr>
        <w:pStyle w:val="Heading3"/>
      </w:pPr>
      <w:r>
        <w:t>6. Freigaben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Rolle</w:t>
            </w:r>
          </w:p>
        </w:tc>
        <w:tc>
          <w:tcPr>
            <w:tcW w:type="dxa" w:w="2880"/>
          </w:tcPr>
          <w:p>
            <w:r>
              <w:t>Person</w:t>
            </w:r>
          </w:p>
        </w:tc>
        <w:tc>
          <w:tcPr>
            <w:tcW w:type="dxa" w:w="2880"/>
          </w:tcPr>
          <w:p>
            <w:r>
              <w:t>Datum</w:t>
            </w:r>
          </w:p>
        </w:tc>
      </w:tr>
      <w:tr>
        <w:tc>
          <w:tcPr>
            <w:tcW w:type="dxa" w:w="2880"/>
          </w:tcPr>
          <w:p>
            <w:r>
              <w:t>Engineering</w:t>
            </w:r>
          </w:p>
        </w:tc>
        <w:tc>
          <w:tcPr>
            <w:tcW w:type="dxa" w:w="2880"/>
          </w:tcPr>
          <w:p>
            <w:r>
              <w:t>Andreas Kurz</w:t>
            </w:r>
          </w:p>
        </w:tc>
        <w:tc>
          <w:tcPr>
            <w:tcW w:type="dxa" w:w="2880"/>
          </w:tcPr>
          <w:p>
            <w:r>
              <w:t>26.09.2022</w:t>
            </w:r>
          </w:p>
        </w:tc>
      </w:tr>
      <w:tr>
        <w:tc>
          <w:tcPr>
            <w:tcW w:type="dxa" w:w="2880"/>
          </w:tcPr>
          <w:p>
            <w:r>
              <w:t>Qualitaet</w:t>
            </w:r>
          </w:p>
        </w:tc>
        <w:tc>
          <w:tcPr>
            <w:tcW w:type="dxa" w:w="2880"/>
          </w:tcPr>
          <w:p>
            <w:r>
              <w:t>Sabine Brand (Q-Konzern)</w:t>
            </w:r>
          </w:p>
        </w:tc>
        <w:tc>
          <w:tcPr>
            <w:tcW w:type="dxa" w:w="2880"/>
          </w:tcPr>
          <w:p>
            <w:r>
              <w:t>27.09.2022</w:t>
            </w:r>
          </w:p>
        </w:tc>
      </w:tr>
      <w:tr>
        <w:tc>
          <w:tcPr>
            <w:tcW w:type="dxa" w:w="2880"/>
          </w:tcPr>
          <w:p>
            <w:r>
              <w:t>Einkauf</w:t>
            </w:r>
          </w:p>
        </w:tc>
        <w:tc>
          <w:tcPr>
            <w:tcW w:type="dxa" w:w="2880"/>
          </w:tcPr>
          <w:p>
            <w:r>
              <w:t>Heiko Dengler (Einkauf)</w:t>
            </w:r>
          </w:p>
        </w:tc>
        <w:tc>
          <w:tcPr>
            <w:tcW w:type="dxa" w:w="2880"/>
          </w:tcPr>
          <w:p>
            <w:r>
              <w:t>28.09.2022</w:t>
            </w:r>
          </w:p>
        </w:tc>
      </w:tr>
      <w:tr>
        <w:tc>
          <w:tcPr>
            <w:tcW w:type="dxa" w:w="2880"/>
          </w:tcPr>
          <w:p>
            <w:r>
              <w:t>CTO</w:t>
            </w:r>
          </w:p>
        </w:tc>
        <w:tc>
          <w:tcPr>
            <w:tcW w:type="dxa" w:w="2880"/>
          </w:tcPr>
          <w:p>
            <w:r>
              <w:t>Stefan Hoffmann</w:t>
            </w:r>
          </w:p>
        </w:tc>
        <w:tc>
          <w:tcPr>
            <w:tcW w:type="dxa" w:w="2880"/>
          </w:tcPr>
          <w:p>
            <w:r>
              <w:t>28.09.2022</w:t>
            </w:r>
          </w:p>
        </w:tc>
      </w:tr>
      <w:tr>
        <w:tc>
          <w:tcPr>
            <w:tcW w:type="dxa" w:w="2880"/>
          </w:tcPr>
          <w:p>
            <w:r>
              <w:t>VW Wolfsburg (PPAP)</w:t>
            </w:r>
          </w:p>
        </w:tc>
        <w:tc>
          <w:tcPr>
            <w:tcW w:type="dxa" w:w="2880"/>
          </w:tcPr>
          <w:p>
            <w:r>
              <w:t>ausstehend / 11/2022 erwartet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  <w:tr>
        <w:tc>
          <w:tcPr>
            <w:tcW w:type="dxa" w:w="2880"/>
          </w:tcPr>
          <w:p>
            <w:r>
              <w:t>Stellantis Mulhouse (PPAP)</w:t>
            </w:r>
          </w:p>
        </w:tc>
        <w:tc>
          <w:tcPr>
            <w:tcW w:type="dxa" w:w="2880"/>
          </w:tcPr>
          <w:p>
            <w:r>
              <w:t>ausstehend / 11/2022 erwartet</w:t>
            </w:r>
          </w:p>
        </w:tc>
        <w:tc>
          <w:tcPr>
            <w:tcW w:type="dxa" w:w="2880"/>
          </w:tcPr>
          <w:p>
            <w:r>
              <w:t>—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