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IT Change-Request CHG-2023-0013 - Firewall-Regelaenderung OT/IT Werk Heilbronn</w:t>
      </w:r>
    </w:p>
    <w:p>
      <w:pPr>
        <w:jc w:val="center"/>
      </w:pPr>
      <w:r>
        <w:t>ITSM ServiceNow / ITIL-4 Change Management</w:t>
      </w:r>
    </w:p>
    <w:p/>
    <w:p>
      <w:pPr>
        <w:pStyle w:val="Heading3"/>
      </w:pPr>
      <w:r>
        <w:t>1. Change-Stammdaten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Change-Nummer</w:t>
            </w:r>
          </w:p>
        </w:tc>
        <w:tc>
          <w:tcPr>
            <w:tcW w:type="dxa" w:w="4320"/>
          </w:tcPr>
          <w:p>
            <w:r>
              <w:t>CHG-2023-0013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Firewall-Regelaenderung OT/IT Werk Heilbronn</w:t>
            </w:r>
          </w:p>
        </w:tc>
      </w:tr>
      <w:tr>
        <w:tc>
          <w:tcPr>
            <w:tcW w:type="dxa" w:w="4320"/>
          </w:tcPr>
          <w:p>
            <w:r>
              <w:t>Beantragt durch</w:t>
            </w:r>
          </w:p>
        </w:tc>
        <w:tc>
          <w:tcPr>
            <w:tcW w:type="dxa" w:w="4320"/>
          </w:tcPr>
          <w:p>
            <w:r>
              <w:t>Andreas Behrens, Lead IT-Architekt</w:t>
            </w:r>
          </w:p>
        </w:tc>
      </w:tr>
      <w:tr>
        <w:tc>
          <w:tcPr>
            <w:tcW w:type="dxa" w:w="4320"/>
          </w:tcPr>
          <w:p>
            <w:r>
              <w:t>Genehmigt durch (CAB)</w:t>
            </w:r>
          </w:p>
        </w:tc>
        <w:tc>
          <w:tcPr>
            <w:tcW w:type="dxa" w:w="4320"/>
          </w:tcPr>
          <w:p>
            <w:r>
              <w:t>Christian Roeder, Head of Group IT Operations / Frank Eisermann, Head of IT Security (CISO)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ITOps Team / SAP CoE</w:t>
            </w:r>
          </w:p>
        </w:tc>
      </w:tr>
      <w:tr>
        <w:tc>
          <w:tcPr>
            <w:tcW w:type="dxa" w:w="4320"/>
          </w:tcPr>
          <w:p>
            <w:r>
              <w:t>Risiko-Klasse</w:t>
            </w:r>
          </w:p>
        </w:tc>
        <w:tc>
          <w:tcPr>
            <w:tcW w:type="dxa" w:w="4320"/>
          </w:tcPr>
          <w:p>
            <w:r>
              <w:t>Hoch</w:t>
            </w:r>
          </w:p>
        </w:tc>
      </w:tr>
      <w:tr>
        <w:tc>
          <w:tcPr>
            <w:tcW w:type="dxa" w:w="4320"/>
          </w:tcPr>
          <w:p>
            <w:r>
              <w:t>Change-Typ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 Pruefung CAB</w:t>
            </w:r>
          </w:p>
        </w:tc>
      </w:tr>
      <w:tr>
        <w:tc>
          <w:tcPr>
            <w:tcW w:type="dxa" w:w="4320"/>
          </w:tcPr>
          <w:p>
            <w:r>
              <w:t>Geplantes Wartungsfenster</w:t>
            </w:r>
          </w:p>
        </w:tc>
        <w:tc>
          <w:tcPr>
            <w:tcW w:type="dxa" w:w="4320"/>
          </w:tcPr>
          <w:p>
            <w:r>
              <w:t>24.05.2023 21:00 MESZ</w:t>
            </w:r>
          </w:p>
        </w:tc>
      </w:tr>
      <w:tr>
        <w:tc>
          <w:tcPr>
            <w:tcW w:type="dxa" w:w="4320"/>
          </w:tcPr>
          <w:p>
            <w:r>
              <w:t>ITSM-Ticket</w:t>
            </w:r>
          </w:p>
        </w:tc>
        <w:tc>
          <w:tcPr>
            <w:tcW w:type="dxa" w:w="4320"/>
          </w:tcPr>
          <w:p>
            <w:r>
              <w:t>ServiceNow CHG0013-2023</w:t>
            </w:r>
          </w:p>
        </w:tc>
      </w:tr>
      <w:tr>
        <w:tc>
          <w:tcPr>
            <w:tcW w:type="dxa" w:w="4320"/>
          </w:tcPr>
          <w:p>
            <w:r>
              <w:t>Affected CIs</w:t>
            </w:r>
          </w:p>
        </w:tc>
        <w:tc>
          <w:tcPr>
            <w:tcW w:type="dxa" w:w="4320"/>
          </w:tcPr>
          <w:p>
            <w:r>
              <w:t>ca. 12 - 480 CI je nach Change</w:t>
            </w:r>
          </w:p>
        </w:tc>
      </w:tr>
      <w:tr>
        <w:tc>
          <w:tcPr>
            <w:tcW w:type="dxa" w:w="4320"/>
          </w:tcPr>
          <w:p>
            <w:r>
              <w:t>Bezug zu Major Incident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3"/>
      </w:pPr>
      <w:r>
        <w:t>2. Beschreibung und Begruendung</w:t>
      </w:r>
    </w:p>
    <w:p>
      <w:r>
        <w:t>Freischaltung neuer DMC/MES-Server (mes-reg-prd-04.reg.local) Richtung Bosch-Rexroth IPC-Steuerung; Segment OT-VLAN 184 -&gt; IT-VLAN 32, Ports TCP/44818 (EtherNet/IP), TCP/4840 (OPC-UA).</w:t>
      </w:r>
    </w:p>
    <w:p>
      <w:r>
        <w:t>Der Change ist Bestandteil der konzernweiten IT-Roadmap 2023 (Lenkungskreis IT-Strategie vom 09.02.2023, TOP 4). Die Aenderung wurde gemeinsam mit dem zustaendigen Fachbereich abgestimmt; das Service-Level wird durch das geplante Wartungsfenster nicht ueber das SLA-Limit (99,5 % Verfuegbarkeit) hinaus belastet.</w:t>
      </w:r>
    </w:p>
    <w:p>
      <w:pPr>
        <w:pStyle w:val="Heading3"/>
      </w:pPr>
      <w:r>
        <w:t>3. Risikoeinschaetzung</w:t>
      </w:r>
    </w:p>
    <w:p>
      <w:r>
        <w:t>Die Risikobewertung erfolgte gemaess ITIL-4 Risikomatrix der Brennhagen Elektronik AG (Stand 03/2023). Wesentliche Risiken: (a) Verfuegbarkeitsverlust durch fehlgeschlagene Implementation; (b) Datenkonsistenz bei verbundenen Systemen (insb. SAP &lt;-&gt; MES &lt;-&gt; PLM); (c) regulatorische Anforderungen aus IATF 16949, TISAX, ISO 27001-Vorbereitung. Mitigation: vollstaendiger Rollback-Plan, Vier-Augen-Freigabe durch CAB, vorab Test in QAS-Mandant 200, Monitoring durch SIEM (Microsoft Sentinel) im erweiterten Modus.</w:t>
      </w:r>
    </w:p>
    <w:p>
      <w:pPr>
        <w:pStyle w:val="Heading3"/>
      </w:pPr>
      <w:r>
        <w:t>4. Rollback-Plan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Schritt</w:t>
            </w:r>
          </w:p>
        </w:tc>
        <w:tc>
          <w:tcPr>
            <w:tcW w:type="dxa" w:w="2880"/>
          </w:tcPr>
          <w:p>
            <w:r>
              <w:t>Aktion</w:t>
            </w:r>
          </w:p>
        </w:tc>
        <w:tc>
          <w:tcPr>
            <w:tcW w:type="dxa" w:w="2880"/>
          </w:tcPr>
          <w:p>
            <w:r>
              <w:t>Verantwortlich</w:t>
            </w:r>
          </w:p>
        </w:tc>
      </w:tr>
      <w:tr>
        <w:tc>
          <w:tcPr>
            <w:tcW w:type="dxa" w:w="2880"/>
          </w:tcPr>
          <w:p>
            <w:r>
              <w:t>R-1</w:t>
            </w:r>
          </w:p>
        </w:tc>
        <w:tc>
          <w:tcPr>
            <w:tcW w:type="dxa" w:w="2880"/>
          </w:tcPr>
          <w:p>
            <w:r>
              <w:t>Pre-Change Snapshot Veeam / SAP Backup ueber DB13</w:t>
            </w:r>
          </w:p>
        </w:tc>
        <w:tc>
          <w:tcPr>
            <w:tcW w:type="dxa" w:w="2880"/>
          </w:tcPr>
          <w:p>
            <w:r>
              <w:t>Infra-Team</w:t>
            </w:r>
          </w:p>
        </w:tc>
      </w:tr>
      <w:tr>
        <w:tc>
          <w:tcPr>
            <w:tcW w:type="dxa" w:w="2880"/>
          </w:tcPr>
          <w:p>
            <w:r>
              <w:t>R-2</w:t>
            </w:r>
          </w:p>
        </w:tc>
        <w:tc>
          <w:tcPr>
            <w:tcW w:type="dxa" w:w="2880"/>
          </w:tcPr>
          <w:p>
            <w:r>
              <w:t>Validierung Snapshot-Konsistenz (CRC, Restore-Test)</w:t>
            </w:r>
          </w:p>
        </w:tc>
        <w:tc>
          <w:tcPr>
            <w:tcW w:type="dxa" w:w="2880"/>
          </w:tcPr>
          <w:p>
            <w:r>
              <w:t>Infra-Team</w:t>
            </w:r>
          </w:p>
        </w:tc>
      </w:tr>
      <w:tr>
        <w:tc>
          <w:tcPr>
            <w:tcW w:type="dxa" w:w="2880"/>
          </w:tcPr>
          <w:p>
            <w:r>
              <w:t>R-3</w:t>
            </w:r>
          </w:p>
        </w:tc>
        <w:tc>
          <w:tcPr>
            <w:tcW w:type="dxa" w:w="2880"/>
          </w:tcPr>
          <w:p>
            <w:r>
              <w:t>Bei Abbruch innerhalb Wartungsfenster: Wiederherstellung Stand Pre-Change</w:t>
            </w:r>
          </w:p>
        </w:tc>
        <w:tc>
          <w:tcPr>
            <w:tcW w:type="dxa" w:w="2880"/>
          </w:tcPr>
          <w:p>
            <w:r>
              <w:t>ITOps</w:t>
            </w:r>
          </w:p>
        </w:tc>
      </w:tr>
      <w:tr>
        <w:tc>
          <w:tcPr>
            <w:tcW w:type="dxa" w:w="2880"/>
          </w:tcPr>
          <w:p>
            <w:r>
              <w:t>R-4</w:t>
            </w:r>
          </w:p>
        </w:tc>
        <w:tc>
          <w:tcPr>
            <w:tcW w:type="dxa" w:w="2880"/>
          </w:tcPr>
          <w:p>
            <w:r>
              <w:t>Eskalation an Major-Incident-Manager (Vinod Kumar) bei MTTR &gt; 60 min</w:t>
            </w:r>
          </w:p>
        </w:tc>
        <w:tc>
          <w:tcPr>
            <w:tcW w:type="dxa" w:w="2880"/>
          </w:tcPr>
          <w:p>
            <w:r>
              <w:t>MIM</w:t>
            </w:r>
          </w:p>
        </w:tc>
      </w:tr>
      <w:tr>
        <w:tc>
          <w:tcPr>
            <w:tcW w:type="dxa" w:w="2880"/>
          </w:tcPr>
          <w:p>
            <w:r>
              <w:t>R-5</w:t>
            </w:r>
          </w:p>
        </w:tc>
        <w:tc>
          <w:tcPr>
            <w:tcW w:type="dxa" w:w="2880"/>
          </w:tcPr>
          <w:p>
            <w:r>
              <w:t>Post-Mortem im naechsten CAB-Meeting</w:t>
            </w:r>
          </w:p>
        </w:tc>
        <w:tc>
          <w:tcPr>
            <w:tcW w:type="dxa" w:w="2880"/>
          </w:tcPr>
          <w:p>
            <w:r>
              <w:t>CAB-Chair</w:t>
            </w:r>
          </w:p>
        </w:tc>
      </w:tr>
    </w:tbl>
    <w:p>
      <w:pPr>
        <w:pStyle w:val="Heading3"/>
      </w:pPr>
      <w:r>
        <w:t>5. Test- und Freigabekriterien</w:t>
      </w:r>
    </w:p>
    <w:p>
      <w:r>
        <w:t>Akzeptanz-Kriterien: alle Smoke-Tests im Mandanten 200 (QAS) bestanden; SAP TR (Transport-Request) fehlerfrei importiert (RC &lt;= 4); kein Anstieg der Tickets im ServiceNow-Dashboard innerhalb 24 h nach Produktivnahme (Schwellwert: 10 % ueber Baseline). Performance-KPI Latenz Dialogtransaktion &lt; 800 ms (Mittelwert).</w:t>
      </w:r>
    </w:p>
    <w:p>
      <w:pPr>
        <w:pStyle w:val="Heading3"/>
      </w:pPr>
      <w:r>
        <w:t>6. Kommunikation</w:t>
      </w:r>
    </w:p>
    <w:p>
      <w:r>
        <w:t>Vorab-Information an Key-User-Verteiler (sap-keyuser@brennhagen-elektronik.de, ca. 240 Empfaenger) 7 Tage vorher; Status-Mail an Vorstand (Dr. Thomas Weber, COO) bei Risiko-Klasse 'Hoch'; Post-Implementation-Review im naechsten Lenkungskreis IT-Steering Committee (monatlich Mittwoch 14:00).</w:t>
      </w:r>
    </w:p>
    <w:p>
      <w:pPr>
        <w:pStyle w:val="Heading3"/>
      </w:pPr>
      <w:r>
        <w:t>7. Freigabe CAB</w:t>
      </w:r>
    </w:p>
    <w:p>
      <w:r>
        <w:t>Ort, Datum: Stuttgart, den kalenderwoechentlicher CAB Donnerstag 10:00</w:t>
      </w:r>
    </w:p>
    <w:p>
      <w:r>
        <w:t>_________________________            _________________________</w:t>
        <w:br/>
        <w:t>Christian Roeder                          Frank Eisermann</w:t>
        <w:br/>
        <w:t>Head of Group IT Operations                          CISO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