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IT-Sicherheitsvorfall SEC-INC-2023-0023 - Datenpanne RSG Muenchen - Fehlversand Personalakte</w:t>
      </w:r>
    </w:p>
    <w:p>
      <w:pPr>
        <w:jc w:val="center"/>
      </w:pPr>
      <w:r>
        <w:t>CSIRT / ISMS Incident Report (ISO 27001 / TISAX Anh. A.16)</w:t>
      </w:r>
    </w:p>
    <w:p/>
    <w:p>
      <w:pPr>
        <w:pStyle w:val="Heading3"/>
      </w:pPr>
      <w:r>
        <w:t>1. Vorfalls-Stammdaten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Vorfalls-Nr.</w:t>
            </w:r>
          </w:p>
        </w:tc>
        <w:tc>
          <w:tcPr>
            <w:tcW w:type="dxa" w:w="4320"/>
          </w:tcPr>
          <w:p>
            <w:r>
              <w:t>SEC-INC-2023-0023</w:t>
            </w:r>
          </w:p>
        </w:tc>
      </w:tr>
      <w:tr>
        <w:tc>
          <w:tcPr>
            <w:tcW w:type="dxa" w:w="4320"/>
          </w:tcPr>
          <w:p>
            <w:r>
              <w:t>Titel</w:t>
            </w:r>
          </w:p>
        </w:tc>
        <w:tc>
          <w:tcPr>
            <w:tcW w:type="dxa" w:w="4320"/>
          </w:tcPr>
          <w:p>
            <w:r>
              <w:t>Datenpanne RSG Muenchen - Fehlversand Personalakte</w:t>
            </w:r>
          </w:p>
        </w:tc>
      </w:tr>
      <w:tr>
        <w:tc>
          <w:tcPr>
            <w:tcW w:type="dxa" w:w="4320"/>
          </w:tcPr>
          <w:p>
            <w:r>
              <w:t>Art / Kategorie</w:t>
            </w:r>
          </w:p>
        </w:tc>
        <w:tc>
          <w:tcPr>
            <w:tcW w:type="dxa" w:w="4320"/>
          </w:tcPr>
          <w:p>
            <w:r>
              <w:t>DSGVO-relevanter Vorfall</w:t>
            </w:r>
          </w:p>
        </w:tc>
      </w:tr>
      <w:tr>
        <w:tc>
          <w:tcPr>
            <w:tcW w:type="dxa" w:w="4320"/>
          </w:tcPr>
          <w:p>
            <w:r>
              <w:t>Schwere (Schadenspotenzial)</w:t>
            </w:r>
          </w:p>
        </w:tc>
        <w:tc>
          <w:tcPr>
            <w:tcW w:type="dxa" w:w="4320"/>
          </w:tcPr>
          <w:p>
            <w:r>
              <w:t>Mittel</w:t>
            </w:r>
          </w:p>
        </w:tc>
      </w:tr>
      <w:tr>
        <w:tc>
          <w:tcPr>
            <w:tcW w:type="dxa" w:w="4320"/>
          </w:tcPr>
          <w:p>
            <w:r>
              <w:t>Erfasst durch</w:t>
            </w:r>
          </w:p>
        </w:tc>
        <w:tc>
          <w:tcPr>
            <w:tcW w:type="dxa" w:w="4320"/>
          </w:tcPr>
          <w:p>
            <w:r>
              <w:t>SOC Sopra Steria (24/7) / CISO Frank Eisermann</w:t>
            </w:r>
          </w:p>
        </w:tc>
      </w:tr>
      <w:tr>
        <w:tc>
          <w:tcPr>
            <w:tcW w:type="dxa" w:w="4320"/>
          </w:tcPr>
          <w:p>
            <w:r>
              <w:t>CSIRT-Einsatzleitung</w:t>
            </w:r>
          </w:p>
        </w:tc>
        <w:tc>
          <w:tcPr>
            <w:tcW w:type="dxa" w:w="4320"/>
          </w:tcPr>
          <w:p>
            <w:r>
              <w:t>Frank Eisermann (CISO), Andreas Behrens (Architekt)</w:t>
            </w:r>
          </w:p>
        </w:tc>
      </w:tr>
      <w:tr>
        <w:tc>
          <w:tcPr>
            <w:tcW w:type="dxa" w:w="4320"/>
          </w:tcPr>
          <w:p>
            <w:r>
              <w:t>Meldepflicht §8b BSIG / Art. 33 DSGVO</w:t>
            </w:r>
          </w:p>
        </w:tc>
        <w:tc>
          <w:tcPr>
            <w:tcW w:type="dxa" w:w="4320"/>
          </w:tcPr>
          <w:p>
            <w:r>
              <w:t>geprueft, siehe Abschnitt 6</w:t>
            </w:r>
          </w:p>
        </w:tc>
      </w:tr>
      <w:tr>
        <w:tc>
          <w:tcPr>
            <w:tcW w:type="dxa" w:w="4320"/>
          </w:tcPr>
          <w:p>
            <w:r>
              <w:t>ITSM-Ticket</w:t>
            </w:r>
          </w:p>
        </w:tc>
        <w:tc>
          <w:tcPr>
            <w:tcW w:type="dxa" w:w="4320"/>
          </w:tcPr>
          <w:p>
            <w:r>
              <w:t>ServiceNow INC0023-2023</w:t>
            </w:r>
          </w:p>
        </w:tc>
      </w:tr>
      <w:tr>
        <w:tc>
          <w:tcPr>
            <w:tcW w:type="dxa" w:w="4320"/>
          </w:tcPr>
          <w:p>
            <w:r>
              <w:t>Verbundene Changes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geschlossen mit Lessons-Learned</w:t>
            </w:r>
          </w:p>
        </w:tc>
      </w:tr>
    </w:tbl>
    <w:p>
      <w:pPr>
        <w:pStyle w:val="Heading3"/>
      </w:pPr>
      <w:r>
        <w:t>2. Sachverhalt</w:t>
      </w:r>
    </w:p>
    <w:p>
      <w:r>
        <w:t>Mitarbeiter HR-IT RSG sendete am 12.10.2023 eine Excel-Datei mit Bonusdaten von 18 ADAS-Entwicklern faelschlich an einen externen Verteiler (Auditor KPMG Internal Audit anstelle interner HR-Verteiler).</w:t>
      </w:r>
    </w:p>
    <w:p>
      <w:r>
        <w:t>Die initiale Erfassung erfolgte im SIEM Microsoft Sentinel (Severity High) sowie durch automatisierte Korrelation in CrowdStrike Falcon. Eskalation an CSIRT gemaess Konzern-Cybersecurity-Policy (ISMS Dokument REA-ISMS-01, Ziff. 8.2) erfolgte innerhalb der vorgesehenen Reaktionsfrist (T+30 min fuer Severity High).</w:t>
      </w:r>
    </w:p>
    <w:p>
      <w:pPr>
        <w:pStyle w:val="Heading3"/>
      </w:pPr>
      <w:r>
        <w:t>3. Detection und Erstreaktion</w:t>
      </w:r>
    </w:p>
    <w:p>
      <w:r>
        <w:t>Datei wurde innerhalb 35 min vom Auditor (Andreas Buehler, CAE) erkannt und geloescht; kein Forward / keine externe Weiterverbreitung.</w:t>
      </w:r>
    </w:p>
    <w:p>
      <w:pPr>
        <w:pStyle w:val="Heading3"/>
      </w:pPr>
      <w:r>
        <w:t>4. Massnahmen und Containment</w:t>
      </w:r>
    </w:p>
    <w:p>
      <w:r>
        <w:t>Meldung an Datenschutzbeauftragten Dr. Markus Holz (LD&amp;P) innerhalb 24 h; keine LfD-Meldepflicht nach Art. 33 DSGVO (kein hohes Risiko), aber dokumentiert; DLP-Regel Microsoft Purview verschaerft (Bonus-Listen automatisch erkennen und blocken).</w:t>
      </w:r>
    </w:p>
    <w:p>
      <w:pPr>
        <w:pStyle w:val="Heading3"/>
      </w:pPr>
      <w:r>
        <w:t>5. Auswirkungen und Schadensbewertung</w:t>
      </w:r>
    </w:p>
    <w:p>
      <w:r>
        <w:t>Direkte Verfuegbarkeitsauswirkungen: keine Produktionsstoerung (Werke). Geschaeftskritische Systeme (SAP, MES) blieben verfuegbar. Reputationsschaden: gering. Datenabfluss: keiner festgestellt. Direkte Kosten: ca. 4.500 EUR (forensische Auswertung Sopra Steria), abgerechnet ueber Rahmenvertrag SOC-Services REA/SOPRA-2022-08.</w:t>
      </w:r>
    </w:p>
    <w:p>
      <w:pPr>
        <w:pStyle w:val="Heading3"/>
      </w:pPr>
      <w:r>
        <w:t>6. Meldepflichten</w:t>
      </w:r>
    </w:p>
    <w:p>
      <w:r>
        <w:t>Pruefung gemaess §8b BSIG (KRITIS): nicht einschlaegig, REA ist nicht KRITIS-Betreiberin. Pruefung gemaess Art. 33 DSGVO: ggf. einschlaegig, je Vorfall separat dokumentiert. Pruefung NIS-2 Umsetzung 2024: vorsorglich erfasst, Reporting-Prozess im Aufbau (Verantwortlich CISO).</w:t>
      </w:r>
    </w:p>
    <w:p>
      <w:pPr>
        <w:pStyle w:val="Heading3"/>
      </w:pPr>
      <w:r>
        <w:t>7. Lessons Learned</w:t>
      </w:r>
    </w:p>
    <w:p>
      <w:r>
        <w:t>Awareness-Training fuer betroffene Zielgruppe (Vorstand / Fuehrungskraefte) eingeplant in Q4/2023 ueber KnowBe4-Plattform. Anpassung Detection-Regel in Sentinel (KQL-Query 'phishing_high_value_targets') umgesetzt. Naechstes CSIRT-Tabletop-Exercise 21.11.2023 unter Leitung Allianz fuer Cyber-Sicherheit.</w:t>
      </w:r>
    </w:p>
    <w:p>
      <w:pPr>
        <w:pStyle w:val="Heading3"/>
      </w:pPr>
      <w:r>
        <w:t>8. Freigabe</w:t>
      </w:r>
    </w:p>
    <w:p>
      <w:r>
        <w:t>Ort, Datum: Stuttgart, den —</w:t>
      </w:r>
    </w:p>
    <w:p>
      <w:r>
        <w:t>_________________________            _________________________</w:t>
        <w:br/>
        <w:t>Frank Eisermann                          Christian Roeder</w:t>
        <w:br/>
        <w:t>CISO                          Head of Group IT Operations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