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IT-Sicherheitsvorfall SEC-INC-2023-0024 - Stoerung CrowdStrike Falcon Console</w:t>
      </w:r>
    </w:p>
    <w:p>
      <w:pPr>
        <w:jc w:val="center"/>
      </w:pPr>
      <w:r>
        <w:t>CSIRT / ISMS Incident Report (ISO 27001 / TISAX Anh. A.16)</w:t>
      </w:r>
    </w:p>
    <w:p/>
    <w:p>
      <w:pPr>
        <w:pStyle w:val="Heading3"/>
      </w:pPr>
      <w:r>
        <w:t>1. Vorfalls-Stammdaten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Vorfalls-Nr.</w:t>
            </w:r>
          </w:p>
        </w:tc>
        <w:tc>
          <w:tcPr>
            <w:tcW w:type="dxa" w:w="4320"/>
          </w:tcPr>
          <w:p>
            <w:r>
              <w:t>SEC-INC-2023-0024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Stoerung CrowdStrike Falcon Console</w:t>
            </w:r>
          </w:p>
        </w:tc>
      </w:tr>
      <w:tr>
        <w:tc>
          <w:tcPr>
            <w:tcW w:type="dxa" w:w="4320"/>
          </w:tcPr>
          <w:p>
            <w:r>
              <w:t>Art / Kategorie</w:t>
            </w:r>
          </w:p>
        </w:tc>
        <w:tc>
          <w:tcPr>
            <w:tcW w:type="dxa" w:w="4320"/>
          </w:tcPr>
          <w:p>
            <w:r>
              <w:t>Verfuegbarkeitsstoerung externer Dienstleister</w:t>
            </w:r>
          </w:p>
        </w:tc>
      </w:tr>
      <w:tr>
        <w:tc>
          <w:tcPr>
            <w:tcW w:type="dxa" w:w="4320"/>
          </w:tcPr>
          <w:p>
            <w:r>
              <w:t>Schwere (Schadenspotenzial)</w:t>
            </w:r>
          </w:p>
        </w:tc>
        <w:tc>
          <w:tcPr>
            <w:tcW w:type="dxa" w:w="4320"/>
          </w:tcPr>
          <w:p>
            <w:r>
              <w:t>Niedrig</w:t>
            </w:r>
          </w:p>
        </w:tc>
      </w:tr>
      <w:tr>
        <w:tc>
          <w:tcPr>
            <w:tcW w:type="dxa" w:w="4320"/>
          </w:tcPr>
          <w:p>
            <w:r>
              <w:t>Erfasst durch</w:t>
            </w:r>
          </w:p>
        </w:tc>
        <w:tc>
          <w:tcPr>
            <w:tcW w:type="dxa" w:w="4320"/>
          </w:tcPr>
          <w:p>
            <w:r>
              <w:t>SOC Sopra Steria (24/7) / CISO Frank Eisermann</w:t>
            </w:r>
          </w:p>
        </w:tc>
      </w:tr>
      <w:tr>
        <w:tc>
          <w:tcPr>
            <w:tcW w:type="dxa" w:w="4320"/>
          </w:tcPr>
          <w:p>
            <w:r>
              <w:t>CSIRT-Einsatzleitung</w:t>
            </w:r>
          </w:p>
        </w:tc>
        <w:tc>
          <w:tcPr>
            <w:tcW w:type="dxa" w:w="4320"/>
          </w:tcPr>
          <w:p>
            <w:r>
              <w:t>Frank Eisermann (CISO), Andreas Behrens (Architekt)</w:t>
            </w:r>
          </w:p>
        </w:tc>
      </w:tr>
      <w:tr>
        <w:tc>
          <w:tcPr>
            <w:tcW w:type="dxa" w:w="4320"/>
          </w:tcPr>
          <w:p>
            <w:r>
              <w:t>Meldepflicht §8b BSIG / Art. 33 DSGVO</w:t>
            </w:r>
          </w:p>
        </w:tc>
        <w:tc>
          <w:tcPr>
            <w:tcW w:type="dxa" w:w="4320"/>
          </w:tcPr>
          <w:p>
            <w:r>
              <w:t>geprueft, siehe Abschnitt 6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INC0024-2023</w:t>
            </w:r>
          </w:p>
        </w:tc>
      </w:tr>
      <w:tr>
        <w:tc>
          <w:tcPr>
            <w:tcW w:type="dxa" w:w="4320"/>
          </w:tcPr>
          <w:p>
            <w:r>
              <w:t>Verbundene Changes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geschlossen mit Lessons-Learned</w:t>
            </w:r>
          </w:p>
        </w:tc>
      </w:tr>
    </w:tbl>
    <w:p>
      <w:pPr>
        <w:pStyle w:val="Heading3"/>
      </w:pPr>
      <w:r>
        <w:t>2. Sachverhalt</w:t>
      </w:r>
    </w:p>
    <w:p>
      <w:r>
        <w:t>Konsole nicht erreichbar 19.10.2023 14:20-15:55 MESZ aufgrund regionaler Stoerung CrowdStrike Cloud (EMEA-Region). Endpoint-Schutz lokal weiter aktiv.</w:t>
      </w:r>
    </w:p>
    <w:p>
      <w:r>
        <w:t>Die initiale Erfassung erfolgte im SIEM Microsoft Sentinel (Severity High) sowie durch automatisierte Korrelation in CrowdStrike Falcon. Eskalation an CSIRT gemaess Konzern-Cybersecurity-Policy (ISMS Dokument REA-ISMS-01, Ziff. 8.2) erfolgte innerhalb der vorgesehenen Reaktionsfrist (T+30 min fuer Severity High).</w:t>
      </w:r>
    </w:p>
    <w:p>
      <w:pPr>
        <w:pStyle w:val="Heading3"/>
      </w:pPr>
      <w:r>
        <w:t>3. Detection und Erstreaktion</w:t>
      </w:r>
    </w:p>
    <w:p>
      <w:r>
        <w:t>Detection und Response ueber Falcon weiterhin funktional (lokaler Sensor); nur Visibility / Investigation aus der Konsole nicht moeglich.</w:t>
      </w:r>
    </w:p>
    <w:p>
      <w:pPr>
        <w:pStyle w:val="Heading3"/>
      </w:pPr>
      <w:r>
        <w:t>4. Massnahmen und Containment</w:t>
      </w:r>
    </w:p>
    <w:p>
      <w:r>
        <w:t>Reklamationsschreiben SLA-Verletzung an CrowdStrike (Account Manager Sebastian Hahn); Pruefung redundanter SOC-Visibility ueber Microsoft Sentinel parallel.</w:t>
      </w:r>
    </w:p>
    <w:p>
      <w:pPr>
        <w:pStyle w:val="Heading3"/>
      </w:pPr>
      <w:r>
        <w:t>5. Auswirkungen und Schadensbewertung</w:t>
      </w:r>
    </w:p>
    <w:p>
      <w:r>
        <w:t>Direkte Verfuegbarkeitsauswirkungen: keine Produktionsstoerung (Werke). Geschaeftskritische Systeme (SAP, MES) blieben verfuegbar. Reputationsschaden: gering. Datenabfluss: keiner festgestellt. Direkte Kosten: ca. 4.500 EUR (forensische Auswertung Sopra Steria), abgerechnet ueber Rahmenvertrag SOC-Services REA/SOPRA-2022-08.</w:t>
      </w:r>
    </w:p>
    <w:p>
      <w:pPr>
        <w:pStyle w:val="Heading3"/>
      </w:pPr>
      <w:r>
        <w:t>6. Meldepflichten</w:t>
      </w:r>
    </w:p>
    <w:p>
      <w:r>
        <w:t>Pruefung gemaess §8b BSIG (KRITIS): nicht einschlaegig, REA ist nicht KRITIS-Betreiberin. Pruefung gemaess Art. 33 DSGVO: ggf. einschlaegig, je Vorfall separat dokumentiert. Pruefung NIS-2 Umsetzung 2024: vorsorglich erfasst, Reporting-Prozess im Aufbau (Verantwortlich CISO).</w:t>
      </w:r>
    </w:p>
    <w:p>
      <w:pPr>
        <w:pStyle w:val="Heading3"/>
      </w:pPr>
      <w:r>
        <w:t>7. Lessons Learned</w:t>
      </w:r>
    </w:p>
    <w:p>
      <w:r>
        <w:t>Awareness-Training fuer betroffene Zielgruppe (Vorstand / Fuehrungskraefte) eingeplant in Q4/2023 ueber KnowBe4-Plattform. Anpassung Detection-Regel in Sentinel (KQL-Query 'phishing_high_value_targets') umgesetzt. Naechstes CSIRT-Tabletop-Exercise 21.11.2023 unter Leitung Allianz fuer Cyber-Sicherheit.</w:t>
      </w:r>
    </w:p>
    <w:p>
      <w:pPr>
        <w:pStyle w:val="Heading3"/>
      </w:pPr>
      <w:r>
        <w:t>8. Freigabe</w:t>
      </w:r>
    </w:p>
    <w:p>
      <w:r>
        <w:t>Ort, Datum: Stuttgart, den —</w:t>
      </w:r>
    </w:p>
    <w:p>
      <w:r>
        <w:t>_________________________            _________________________</w:t>
        <w:br/>
        <w:t>Frank Eisermann                          Christian Roeder</w:t>
        <w:br/>
        <w:t>CISO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