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IT-Systemstoerung INC-2023-0001 - SAP S/4HANA Production - Dialog-Performance-Einbruch</w:t>
      </w:r>
    </w:p>
    <w:p>
      <w:pPr>
        <w:jc w:val="center"/>
      </w:pPr>
      <w:r>
        <w:t>ITSM Major-Incident Bericht / RCA</w:t>
      </w:r>
    </w:p>
    <w:p/>
    <w:p>
      <w:pPr>
        <w:pStyle w:val="Heading3"/>
      </w:pPr>
      <w:r>
        <w:t>1. Stoerungs-Stammdaten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Stoerungs-Nr.</w:t>
            </w:r>
          </w:p>
        </w:tc>
        <w:tc>
          <w:tcPr>
            <w:tcW w:type="dxa" w:w="4320"/>
          </w:tcPr>
          <w:p>
            <w:r>
              <w:t>INC-2023-0001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SAP S/4HANA Production - Dialog-Performance-Einbruch</w:t>
            </w:r>
          </w:p>
        </w:tc>
      </w:tr>
      <w:tr>
        <w:tc>
          <w:tcPr>
            <w:tcW w:type="dxa" w:w="4320"/>
          </w:tcPr>
          <w:p>
            <w:r>
              <w:t>Betroffenes System / Service</w:t>
            </w:r>
          </w:p>
        </w:tc>
        <w:tc>
          <w:tcPr>
            <w:tcW w:type="dxa" w:w="4320"/>
          </w:tcPr>
          <w:p>
            <w:r>
              <w:t>SAP S/4HANA (P01, Mandant 100)</w:t>
            </w:r>
          </w:p>
        </w:tc>
      </w:tr>
      <w:tr>
        <w:tc>
          <w:tcPr>
            <w:tcW w:type="dxa" w:w="4320"/>
          </w:tcPr>
          <w:p>
            <w:r>
              <w:t>Schweregrad</w:t>
            </w:r>
          </w:p>
        </w:tc>
        <w:tc>
          <w:tcPr>
            <w:tcW w:type="dxa" w:w="4320"/>
          </w:tcPr>
          <w:p>
            <w:r>
              <w:t>P2 (high)</w:t>
            </w:r>
          </w:p>
        </w:tc>
      </w:tr>
      <w:tr>
        <w:tc>
          <w:tcPr>
            <w:tcW w:type="dxa" w:w="4320"/>
          </w:tcPr>
          <w:p>
            <w:r>
              <w:t>Stoerungszeitraum</w:t>
            </w:r>
          </w:p>
        </w:tc>
        <w:tc>
          <w:tcPr>
            <w:tcW w:type="dxa" w:w="4320"/>
          </w:tcPr>
          <w:p>
            <w:r>
              <w:t>14.02.2023 09:18-11:42 MESZ</w:t>
            </w:r>
          </w:p>
        </w:tc>
      </w:tr>
      <w:tr>
        <w:tc>
          <w:tcPr>
            <w:tcW w:type="dxa" w:w="4320"/>
          </w:tcPr>
          <w:p>
            <w:r>
              <w:t>Stoerungsdauer</w:t>
            </w:r>
          </w:p>
        </w:tc>
        <w:tc>
          <w:tcPr>
            <w:tcW w:type="dxa" w:w="4320"/>
          </w:tcPr>
          <w:p>
            <w:r>
              <w:t>ca. 144 Minuten</w:t>
            </w:r>
          </w:p>
        </w:tc>
      </w:tr>
      <w:tr>
        <w:tc>
          <w:tcPr>
            <w:tcW w:type="dxa" w:w="4320"/>
          </w:tcPr>
          <w:p>
            <w:r>
              <w:t>Major-Incident-Manager</w:t>
            </w:r>
          </w:p>
        </w:tc>
        <w:tc>
          <w:tcPr>
            <w:tcW w:type="dxa" w:w="4320"/>
          </w:tcPr>
          <w:p>
            <w:r>
              <w:t>Vinod Kumar / Christian Roeder (Eskalation)</w:t>
            </w:r>
          </w:p>
        </w:tc>
      </w:tr>
      <w:tr>
        <w:tc>
          <w:tcPr>
            <w:tcW w:type="dxa" w:w="4320"/>
          </w:tcPr>
          <w:p>
            <w:r>
              <w:t>Service-Owner</w:t>
            </w:r>
          </w:p>
        </w:tc>
        <w:tc>
          <w:tcPr>
            <w:tcW w:type="dxa" w:w="4320"/>
          </w:tcPr>
          <w:p>
            <w:r>
              <w:t>Dr. Stefan Lichter (SAP), Andreas Behrens (Infrastruktur)</w:t>
            </w:r>
          </w:p>
        </w:tc>
      </w:tr>
      <w:tr>
        <w:tc>
          <w:tcPr>
            <w:tcW w:type="dxa" w:w="4320"/>
          </w:tcPr>
          <w:p>
            <w:r>
              <w:t>ITSM-Ticket</w:t>
            </w:r>
          </w:p>
        </w:tc>
        <w:tc>
          <w:tcPr>
            <w:tcW w:type="dxa" w:w="4320"/>
          </w:tcPr>
          <w:p>
            <w:r>
              <w:t>ServiceNow INC0001-2023</w:t>
            </w:r>
          </w:p>
        </w:tc>
      </w:tr>
      <w:tr>
        <w:tc>
          <w:tcPr>
            <w:tcW w:type="dxa" w:w="4320"/>
          </w:tcPr>
          <w:p>
            <w:r>
              <w:t>RCA-Status</w:t>
            </w:r>
          </w:p>
        </w:tc>
        <w:tc>
          <w:tcPr>
            <w:tcW w:type="dxa" w:w="4320"/>
          </w:tcPr>
          <w:p>
            <w:r>
              <w:t>abgeschlossen</w:t>
            </w:r>
          </w:p>
        </w:tc>
      </w:tr>
    </w:tbl>
    <w:p>
      <w:pPr>
        <w:pStyle w:val="Heading3"/>
      </w:pPr>
      <w:r>
        <w:t>2. Stoerungsbeschreibung</w:t>
      </w:r>
    </w:p>
    <w:p>
      <w:r>
        <w:t>Hohe Dialog-Antwortzeiten (Mittelwert 4,8 s, Spitze 14 s) in den Modulen FI, CO, MM. Ca. 1.200 Anwender betroffen, vorrangig Backoffice Stuttgart und Heilbronn.</w:t>
      </w:r>
    </w:p>
    <w:p>
      <w:r>
        <w:t>Die Erstmeldung erfolgte ueber den ServiceDesk (Erstticket eines End-Anwenders) sowie ueber proaktives Monitoring (Microsoft Sentinel, SAP Solution Manager). Die Eskalation zum Major-Incident wurde 12 Minuten nach Stoerungsbeginn ausgeloest, MIM-Bruecke (Teams) eroeffnet.</w:t>
      </w:r>
    </w:p>
    <w:p>
      <w:pPr>
        <w:pStyle w:val="Heading3"/>
      </w:pPr>
      <w:r>
        <w:t>3. Ursachenanalyse (RCA)</w:t>
      </w:r>
    </w:p>
    <w:p>
      <w:r>
        <w:t>Ursache: ineffiziente ABAP-Query in Custom-Z-Report ZFI_AGING_ANALYSIS (von Anwender Group Tax gestartet ohne Selektionsfilter) verursachte massiven Tablescan auf BSEG (1,2 Mrd. Rows).</w:t>
      </w:r>
    </w:p>
    <w:p>
      <w:r>
        <w:t>Die RCA wurde gemaess ITIL-4-Methode (5-Why-Analyse) durchgefuehrt und im Post-Mortem am Folgetag mit Service-Owner, Architekt und CISO besprochen. Dokumentation im Confluence-Space 'IT Major Incidents'.</w:t>
      </w:r>
    </w:p>
    <w:p>
      <w:pPr>
        <w:pStyle w:val="Heading3"/>
      </w:pPr>
      <w:r>
        <w:t>4. Massnahmen / Sofortmassnahmen</w:t>
      </w:r>
    </w:p>
    <w:p>
      <w:r>
        <w:t>Hotfix - Anwender-Schulung, Kill der Hintergrund-Jobs, Z-Report umgebaut auf ATR/SELECT-OPTIONS Pflicht durch SAP CoE. Backup vom Vortag stand bereit, war nicht erforderlich.</w:t>
      </w:r>
    </w:p>
    <w:p>
      <w:pPr>
        <w:pStyle w:val="Heading3"/>
      </w:pPr>
      <w:r>
        <w:t>5. 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Betroffene Anwender (geschaetzt)</w:t>
            </w:r>
          </w:p>
        </w:tc>
        <w:tc>
          <w:tcPr>
            <w:tcW w:type="dxa" w:w="4320"/>
          </w:tcPr>
          <w:p>
            <w:r>
              <w:t>ca. 120 - 1.200</w:t>
            </w:r>
          </w:p>
        </w:tc>
      </w:tr>
      <w:tr>
        <w:tc>
          <w:tcPr>
            <w:tcW w:type="dxa" w:w="4320"/>
          </w:tcPr>
          <w:p>
            <w:r>
              <w:t>Direkter Produktionsverlust</w:t>
            </w:r>
          </w:p>
        </w:tc>
        <w:tc>
          <w:tcPr>
            <w:tcW w:type="dxa" w:w="4320"/>
          </w:tcPr>
          <w:p>
            <w:r>
              <w:t>0 - 28.000 EUR (je Vorfall)</w:t>
            </w:r>
          </w:p>
        </w:tc>
      </w:tr>
      <w:tr>
        <w:tc>
          <w:tcPr>
            <w:tcW w:type="dxa" w:w="4320"/>
          </w:tcPr>
          <w:p>
            <w:r>
              <w:t>SLA-Verletzung</w:t>
            </w:r>
          </w:p>
        </w:tc>
        <w:tc>
          <w:tcPr>
            <w:tcW w:type="dxa" w:w="4320"/>
          </w:tcPr>
          <w:p>
            <w:r>
              <w:t>ggf. ja, siehe Berichts-Anhang</w:t>
            </w:r>
          </w:p>
        </w:tc>
      </w:tr>
      <w:tr>
        <w:tc>
          <w:tcPr>
            <w:tcW w:type="dxa" w:w="4320"/>
          </w:tcPr>
          <w:p>
            <w:r>
              <w:t>Kundenbeschwerden / OEM-Impact</w:t>
            </w:r>
          </w:p>
        </w:tc>
        <w:tc>
          <w:tcPr>
            <w:tcW w:type="dxa" w:w="4320"/>
          </w:tcPr>
          <w:p>
            <w:r>
              <w:t>nein</w:t>
            </w:r>
          </w:p>
        </w:tc>
      </w:tr>
      <w:tr>
        <w:tc>
          <w:tcPr>
            <w:tcW w:type="dxa" w:w="4320"/>
          </w:tcPr>
          <w:p>
            <w:r>
              <w:t>Datenverlust</w:t>
            </w:r>
          </w:p>
        </w:tc>
        <w:tc>
          <w:tcPr>
            <w:tcW w:type="dxa" w:w="4320"/>
          </w:tcPr>
          <w:p>
            <w:r>
              <w:t>nein</w:t>
            </w:r>
          </w:p>
        </w:tc>
      </w:tr>
    </w:tbl>
    <w:p>
      <w:pPr>
        <w:pStyle w:val="Heading3"/>
      </w:pPr>
      <w:r>
        <w:t>6. Praeventive Massnahmen</w:t>
      </w:r>
    </w:p>
    <w:p>
      <w:r>
        <w:t>Aufnahme einer praeventiven Massnahme in das IT-Risikoregister (Eigentuemer Andreas Behrens). Update der Monitoring-Schwellwerte (Prometheus, Sentinel) und Anpassung Runbooks im Confluence. Ueberpruefung Lessons-Learned im naechsten IT-Steering Committee.</w:t>
      </w:r>
    </w:p>
    <w:p>
      <w:pPr>
        <w:pStyle w:val="Heading3"/>
      </w:pPr>
      <w:r>
        <w:t>7. Freigabe RCA</w:t>
      </w:r>
    </w:p>
    <w:p>
      <w:r>
        <w:t>Ort, Datum: Stuttgart, den 14.02.2023 09:18</w:t>
      </w:r>
    </w:p>
    <w:p>
      <w:r>
        <w:t>_________________________            _________________________</w:t>
        <w:br/>
        <w:t>Vinod Kumar                          Christian Roeder</w:t>
        <w:br/>
        <w:t>Major Incident Manager                          Head of Group IT Operations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