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IT-Systemstoerung INC-2023-0008 - Salesforce CRM Login-Stoerung</w:t>
      </w:r>
    </w:p>
    <w:p>
      <w:pPr>
        <w:jc w:val="center"/>
      </w:pPr>
      <w:r>
        <w:t>ITSM Major-Incident Bericht / RCA</w:t>
      </w:r>
    </w:p>
    <w:p/>
    <w:p>
      <w:pPr>
        <w:pStyle w:val="Heading3"/>
      </w:pPr>
      <w:r>
        <w:t>1. Stoerungs-Stammdaten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Stoerungs-Nr.</w:t>
            </w:r>
          </w:p>
        </w:tc>
        <w:tc>
          <w:tcPr>
            <w:tcW w:type="dxa" w:w="4320"/>
          </w:tcPr>
          <w:p>
            <w:r>
              <w:t>INC-2023-0008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Salesforce CRM Login-Stoerung</w:t>
            </w:r>
          </w:p>
        </w:tc>
      </w:tr>
      <w:tr>
        <w:tc>
          <w:tcPr>
            <w:tcW w:type="dxa" w:w="4320"/>
          </w:tcPr>
          <w:p>
            <w:r>
              <w:t>Betroffenes System / Service</w:t>
            </w:r>
          </w:p>
        </w:tc>
        <w:tc>
          <w:tcPr>
            <w:tcW w:type="dxa" w:w="4320"/>
          </w:tcPr>
          <w:p>
            <w:r>
              <w:t>Salesforce Sales Cloud</w:t>
            </w:r>
          </w:p>
        </w:tc>
      </w:tr>
      <w:tr>
        <w:tc>
          <w:tcPr>
            <w:tcW w:type="dxa" w:w="4320"/>
          </w:tcPr>
          <w:p>
            <w:r>
              <w:t>Schweregrad</w:t>
            </w:r>
          </w:p>
        </w:tc>
        <w:tc>
          <w:tcPr>
            <w:tcW w:type="dxa" w:w="4320"/>
          </w:tcPr>
          <w:p>
            <w:r>
              <w:t>P3 (medium)</w:t>
            </w:r>
          </w:p>
        </w:tc>
      </w:tr>
      <w:tr>
        <w:tc>
          <w:tcPr>
            <w:tcW w:type="dxa" w:w="4320"/>
          </w:tcPr>
          <w:p>
            <w:r>
              <w:t>Stoerungszeitraum</w:t>
            </w:r>
          </w:p>
        </w:tc>
        <w:tc>
          <w:tcPr>
            <w:tcW w:type="dxa" w:w="4320"/>
          </w:tcPr>
          <w:p>
            <w:r>
              <w:t>26.04.2023 08:30-10:15 MESZ</w:t>
            </w:r>
          </w:p>
        </w:tc>
      </w:tr>
      <w:tr>
        <w:tc>
          <w:tcPr>
            <w:tcW w:type="dxa" w:w="4320"/>
          </w:tcPr>
          <w:p>
            <w:r>
              <w:t>Stoerungsdauer</w:t>
            </w:r>
          </w:p>
        </w:tc>
        <w:tc>
          <w:tcPr>
            <w:tcW w:type="dxa" w:w="4320"/>
          </w:tcPr>
          <w:p>
            <w:r>
              <w:t>ca. 105 Minuten</w:t>
            </w:r>
          </w:p>
        </w:tc>
      </w:tr>
      <w:tr>
        <w:tc>
          <w:tcPr>
            <w:tcW w:type="dxa" w:w="4320"/>
          </w:tcPr>
          <w:p>
            <w:r>
              <w:t>Major-Incident-Manager</w:t>
            </w:r>
          </w:p>
        </w:tc>
        <w:tc>
          <w:tcPr>
            <w:tcW w:type="dxa" w:w="4320"/>
          </w:tcPr>
          <w:p>
            <w:r>
              <w:t>Vinod Kumar / Christian Roeder (Eskalation)</w:t>
            </w:r>
          </w:p>
        </w:tc>
      </w:tr>
      <w:tr>
        <w:tc>
          <w:tcPr>
            <w:tcW w:type="dxa" w:w="4320"/>
          </w:tcPr>
          <w:p>
            <w:r>
              <w:t>Service-Owner</w:t>
            </w:r>
          </w:p>
        </w:tc>
        <w:tc>
          <w:tcPr>
            <w:tcW w:type="dxa" w:w="4320"/>
          </w:tcPr>
          <w:p>
            <w:r>
              <w:t>Dr. Stefan Lichter (SAP), Andreas Behrens (Infrastruktur)</w:t>
            </w:r>
          </w:p>
        </w:tc>
      </w:tr>
      <w:tr>
        <w:tc>
          <w:tcPr>
            <w:tcW w:type="dxa" w:w="4320"/>
          </w:tcPr>
          <w:p>
            <w:r>
              <w:t>ITSM-Ticket</w:t>
            </w:r>
          </w:p>
        </w:tc>
        <w:tc>
          <w:tcPr>
            <w:tcW w:type="dxa" w:w="4320"/>
          </w:tcPr>
          <w:p>
            <w:r>
              <w:t>ServiceNow INC0008-2023</w:t>
            </w:r>
          </w:p>
        </w:tc>
      </w:tr>
      <w:tr>
        <w:tc>
          <w:tcPr>
            <w:tcW w:type="dxa" w:w="4320"/>
          </w:tcPr>
          <w:p>
            <w:r>
              <w:t>RCA-Status</w:t>
            </w:r>
          </w:p>
        </w:tc>
        <w:tc>
          <w:tcPr>
            <w:tcW w:type="dxa" w:w="4320"/>
          </w:tcPr>
          <w:p>
            <w:r>
              <w:t>abgeschlossen</w:t>
            </w:r>
          </w:p>
        </w:tc>
      </w:tr>
    </w:tbl>
    <w:p>
      <w:pPr>
        <w:pStyle w:val="Heading3"/>
      </w:pPr>
      <w:r>
        <w:t>2. Stoerungsbeschreibung</w:t>
      </w:r>
    </w:p>
    <w:p>
      <w:r>
        <w:t>Vertriebsmitarbeiter konnten sich nicht ueber Single-Sign-On (Entra ID -&gt; Salesforce SAML) anmelden. Ca. 380 Vertriebs- und Service-Anwender betroffen.</w:t>
      </w:r>
    </w:p>
    <w:p>
      <w:r>
        <w:t>Die Erstmeldung erfolgte ueber den ServiceDesk (Erstticket eines End-Anwenders) sowie ueber proaktives Monitoring (Microsoft Sentinel, SAP Solution Manager). Die Eskalation zum Major-Incident wurde 12 Minuten nach Stoerungsbeginn ausgeloest, MIM-Bruecke (Teams) eroeffnet.</w:t>
      </w:r>
    </w:p>
    <w:p>
      <w:pPr>
        <w:pStyle w:val="Heading3"/>
      </w:pPr>
      <w:r>
        <w:t>3. Ursachenanalyse (RCA)</w:t>
      </w:r>
    </w:p>
    <w:p>
      <w:r>
        <w:t>Ursache: abgelaufenes SAML-Signing-Zertifikat auf Salesforce-Seite (Renewal-Hinweis verloren im Salesforce-Admin-Postfach des Vorgaengers).</w:t>
      </w:r>
    </w:p>
    <w:p>
      <w:r>
        <w:t>Die RCA wurde gemaess ITIL-4-Methode (5-Why-Analyse) durchgefuehrt und im Post-Mortem am Folgetag mit Service-Owner, Architekt und CISO besprochen. Dokumentation im Confluence-Space 'IT Major Incidents'.</w:t>
      </w:r>
    </w:p>
    <w:p>
      <w:pPr>
        <w:pStyle w:val="Heading3"/>
      </w:pPr>
      <w:r>
        <w:t>4. Massnahmen / Sofortmassnahmen</w:t>
      </w:r>
    </w:p>
    <w:p>
      <w:r>
        <w:t>Neues Zertifikat im Wartungsfenster eingespielt; ITIL-CMDB-Eintrag fuer Zertifikate vervollstaendigt; automatische Renewal-Reminder ueber Microsoft Sentinel KQL-Query etabliert.</w:t>
      </w:r>
    </w:p>
    <w:p>
      <w:pPr>
        <w:pStyle w:val="Heading3"/>
      </w:pPr>
      <w:r>
        <w:t>5. 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Betroffene Anwender (geschaetzt)</w:t>
            </w:r>
          </w:p>
        </w:tc>
        <w:tc>
          <w:tcPr>
            <w:tcW w:type="dxa" w:w="4320"/>
          </w:tcPr>
          <w:p>
            <w:r>
              <w:t>ca. 120 - 1.200</w:t>
            </w:r>
          </w:p>
        </w:tc>
      </w:tr>
      <w:tr>
        <w:tc>
          <w:tcPr>
            <w:tcW w:type="dxa" w:w="4320"/>
          </w:tcPr>
          <w:p>
            <w:r>
              <w:t>Direkter Produktionsverlust</w:t>
            </w:r>
          </w:p>
        </w:tc>
        <w:tc>
          <w:tcPr>
            <w:tcW w:type="dxa" w:w="4320"/>
          </w:tcPr>
          <w:p>
            <w:r>
              <w:t>0 - 28.000 EUR (je Vorfall)</w:t>
            </w:r>
          </w:p>
        </w:tc>
      </w:tr>
      <w:tr>
        <w:tc>
          <w:tcPr>
            <w:tcW w:type="dxa" w:w="4320"/>
          </w:tcPr>
          <w:p>
            <w:r>
              <w:t>SLA-Verletzung</w:t>
            </w:r>
          </w:p>
        </w:tc>
        <w:tc>
          <w:tcPr>
            <w:tcW w:type="dxa" w:w="4320"/>
          </w:tcPr>
          <w:p>
            <w:r>
              <w:t>ggf. ja, siehe Berichts-Anhang</w:t>
            </w:r>
          </w:p>
        </w:tc>
      </w:tr>
      <w:tr>
        <w:tc>
          <w:tcPr>
            <w:tcW w:type="dxa" w:w="4320"/>
          </w:tcPr>
          <w:p>
            <w:r>
              <w:t>Kundenbeschwerden / OEM-Impact</w:t>
            </w:r>
          </w:p>
        </w:tc>
        <w:tc>
          <w:tcPr>
            <w:tcW w:type="dxa" w:w="4320"/>
          </w:tcPr>
          <w:p>
            <w:r>
              <w:t>nein</w:t>
            </w:r>
          </w:p>
        </w:tc>
      </w:tr>
      <w:tr>
        <w:tc>
          <w:tcPr>
            <w:tcW w:type="dxa" w:w="4320"/>
          </w:tcPr>
          <w:p>
            <w:r>
              <w:t>Datenverlust</w:t>
            </w:r>
          </w:p>
        </w:tc>
        <w:tc>
          <w:tcPr>
            <w:tcW w:type="dxa" w:w="4320"/>
          </w:tcPr>
          <w:p>
            <w:r>
              <w:t>nein</w:t>
            </w:r>
          </w:p>
        </w:tc>
      </w:tr>
    </w:tbl>
    <w:p>
      <w:pPr>
        <w:pStyle w:val="Heading3"/>
      </w:pPr>
      <w:r>
        <w:t>6. Praeventive Massnahmen</w:t>
      </w:r>
    </w:p>
    <w:p>
      <w:r>
        <w:t>Aufnahme einer praeventiven Massnahme in das IT-Risikoregister (Eigentuemer Andreas Behrens). Update der Monitoring-Schwellwerte (Prometheus, Sentinel) und Anpassung Runbooks im Confluence. Ueberpruefung Lessons-Learned im naechsten IT-Steering Committee.</w:t>
      </w:r>
    </w:p>
    <w:p>
      <w:pPr>
        <w:pStyle w:val="Heading3"/>
      </w:pPr>
      <w:r>
        <w:t>7. Freigabe RCA</w:t>
      </w:r>
    </w:p>
    <w:p>
      <w:r>
        <w:t>Ort, Datum: Stuttgart, den 26.04.2023 08:30</w:t>
      </w:r>
    </w:p>
    <w:p>
      <w:r>
        <w:t>_________________________            _________________________</w:t>
        <w:br/>
        <w:t>Vinod Kumar                          Christian Roeder</w:t>
        <w:br/>
        <w:t>Major Incident Manager                          Head of Group IT Operations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