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IT-Systemstoerung INC-2023-0021 - MES-Ausfall Werk Brno (RCZ)</w:t>
      </w:r>
    </w:p>
    <w:p>
      <w:pPr>
        <w:jc w:val="center"/>
      </w:pPr>
      <w:r>
        <w:t>ITSM Major-Incident Bericht / RCA</w:t>
      </w:r>
    </w:p>
    <w:p/>
    <w:p>
      <w:pPr>
        <w:pStyle w:val="Heading3"/>
      </w:pPr>
      <w:r>
        <w:t>1. Stoerungs-Stammdaten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Stoerungs-Nr.</w:t>
            </w:r>
          </w:p>
        </w:tc>
        <w:tc>
          <w:tcPr>
            <w:tcW w:type="dxa" w:w="4320"/>
          </w:tcPr>
          <w:p>
            <w:r>
              <w:t>INC-2023-0021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MES-Ausfall Werk Brno (RCZ)</w:t>
            </w:r>
          </w:p>
        </w:tc>
      </w:tr>
      <w:tr>
        <w:tc>
          <w:tcPr>
            <w:tcW w:type="dxa" w:w="4320"/>
          </w:tcPr>
          <w:p>
            <w:r>
              <w:t>Betroffenes System / Service</w:t>
            </w:r>
          </w:p>
        </w:tc>
        <w:tc>
          <w:tcPr>
            <w:tcW w:type="dxa" w:w="4320"/>
          </w:tcPr>
          <w:p>
            <w:r>
              <w:t>SAP DMC / SAP ME 15.4</w:t>
            </w:r>
          </w:p>
        </w:tc>
      </w:tr>
      <w:tr>
        <w:tc>
          <w:tcPr>
            <w:tcW w:type="dxa" w:w="4320"/>
          </w:tcPr>
          <w:p>
            <w:r>
              <w:t>Schweregrad</w:t>
            </w:r>
          </w:p>
        </w:tc>
        <w:tc>
          <w:tcPr>
            <w:tcW w:type="dxa" w:w="4320"/>
          </w:tcPr>
          <w:p>
            <w:r>
              <w:t>P1 (critical)</w:t>
            </w:r>
          </w:p>
        </w:tc>
      </w:tr>
      <w:tr>
        <w:tc>
          <w:tcPr>
            <w:tcW w:type="dxa" w:w="4320"/>
          </w:tcPr>
          <w:p>
            <w:r>
              <w:t>Stoerungszeitraum</w:t>
            </w:r>
          </w:p>
        </w:tc>
        <w:tc>
          <w:tcPr>
            <w:tcW w:type="dxa" w:w="4320"/>
          </w:tcPr>
          <w:p>
            <w:r>
              <w:t>16.10.2023 04:18-06:55 MESZ</w:t>
            </w:r>
          </w:p>
        </w:tc>
      </w:tr>
      <w:tr>
        <w:tc>
          <w:tcPr>
            <w:tcW w:type="dxa" w:w="4320"/>
          </w:tcPr>
          <w:p>
            <w:r>
              <w:t>Stoerungsdauer</w:t>
            </w:r>
          </w:p>
        </w:tc>
        <w:tc>
          <w:tcPr>
            <w:tcW w:type="dxa" w:w="4320"/>
          </w:tcPr>
          <w:p>
            <w:r>
              <w:t>ca. 157 Minuten</w:t>
            </w:r>
          </w:p>
        </w:tc>
      </w:tr>
      <w:tr>
        <w:tc>
          <w:tcPr>
            <w:tcW w:type="dxa" w:w="4320"/>
          </w:tcPr>
          <w:p>
            <w:r>
              <w:t>Major-Incident-Manager</w:t>
            </w:r>
          </w:p>
        </w:tc>
        <w:tc>
          <w:tcPr>
            <w:tcW w:type="dxa" w:w="4320"/>
          </w:tcPr>
          <w:p>
            <w:r>
              <w:t>Vinod Kumar / Christian Roeder (Eskalation)</w:t>
            </w:r>
          </w:p>
        </w:tc>
      </w:tr>
      <w:tr>
        <w:tc>
          <w:tcPr>
            <w:tcW w:type="dxa" w:w="4320"/>
          </w:tcPr>
          <w:p>
            <w:r>
              <w:t>Service-Owner</w:t>
            </w:r>
          </w:p>
        </w:tc>
        <w:tc>
          <w:tcPr>
            <w:tcW w:type="dxa" w:w="4320"/>
          </w:tcPr>
          <w:p>
            <w:r>
              <w:t>Dr. Stefan Lichter (SAP), Andreas Behrens (Infrastruktur)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INC0021-2023</w:t>
            </w:r>
          </w:p>
        </w:tc>
      </w:tr>
      <w:tr>
        <w:tc>
          <w:tcPr>
            <w:tcW w:type="dxa" w:w="4320"/>
          </w:tcPr>
          <w:p>
            <w:r>
              <w:t>RCA-Status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</w:tbl>
    <w:p>
      <w:pPr>
        <w:pStyle w:val="Heading3"/>
      </w:pPr>
      <w:r>
        <w:t>2. Stoerungsbeschreibung</w:t>
      </w:r>
    </w:p>
    <w:p>
      <w:r>
        <w:t>Linie 'CON-04' im Werk Brno stand still (Steckverbinder-Endmontage), kein MES-Buchen moeglich. Produktionsverlust ca. 3.200 Stueck (Wert ca. 28.000 EUR).</w:t>
      </w:r>
    </w:p>
    <w:p>
      <w:r>
        <w:t>Die Erstmeldung erfolgte ueber den ServiceDesk (Erstticket eines End-Anwenders) sowie ueber proaktives Monitoring (Microsoft Sentinel, SAP Solution Manager). Die Eskalation zum Major-Incident wurde 12 Minuten nach Stoerungsbeginn ausgeloest, MIM-Bruecke (Teams) eroeffnet.</w:t>
      </w:r>
    </w:p>
    <w:p>
      <w:pPr>
        <w:pStyle w:val="Heading3"/>
      </w:pPr>
      <w:r>
        <w:t>3. Ursachenanalyse (RCA)</w:t>
      </w:r>
    </w:p>
    <w:p>
      <w:r>
        <w:t>Ursache: Festplatten-Ausfall auf MES-Application-Server mes-rcz-prd-02 (Dell PowerEdge R750); RAID-Rebuild blockierte Schreib-IO.</w:t>
      </w:r>
    </w:p>
    <w:p>
      <w:r>
        <w:t>Die RCA wurde gemaess ITIL-4-Methode (5-Why-Analyse) durchgefuehrt und im Post-Mortem am Folgetag mit Service-Owner, Architekt und CISO besprochen. Dokumentation im Confluence-Space 'IT Major Incidents'.</w:t>
      </w:r>
    </w:p>
    <w:p>
      <w:pPr>
        <w:pStyle w:val="Heading3"/>
      </w:pPr>
      <w:r>
        <w:t>4. Massnahmen / Sofortmassnahmen</w:t>
      </w:r>
    </w:p>
    <w:p>
      <w:r>
        <w:t>Ausfall-Plattenwechsel ueber Vor-Ort-Service Dell ProSupport 4h; Lessons-Learned: Reservekapazitaet (Cold-Standby) muss in RCZ aufgebaut werden, Investitionsantrag im Capex-2024.</w:t>
      </w:r>
    </w:p>
    <w:p>
      <w:pPr>
        <w:pStyle w:val="Heading3"/>
      </w:pPr>
      <w:r>
        <w:t>5. 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Betroffene Anwender (geschaetzt)</w:t>
            </w:r>
          </w:p>
        </w:tc>
        <w:tc>
          <w:tcPr>
            <w:tcW w:type="dxa" w:w="4320"/>
          </w:tcPr>
          <w:p>
            <w:r>
              <w:t>ca. 120 - 1.200</w:t>
            </w:r>
          </w:p>
        </w:tc>
      </w:tr>
      <w:tr>
        <w:tc>
          <w:tcPr>
            <w:tcW w:type="dxa" w:w="4320"/>
          </w:tcPr>
          <w:p>
            <w:r>
              <w:t>Direkter Produktionsverlust</w:t>
            </w:r>
          </w:p>
        </w:tc>
        <w:tc>
          <w:tcPr>
            <w:tcW w:type="dxa" w:w="4320"/>
          </w:tcPr>
          <w:p>
            <w:r>
              <w:t>0 - 28.000 EUR (je Vorfall)</w:t>
            </w:r>
          </w:p>
        </w:tc>
      </w:tr>
      <w:tr>
        <w:tc>
          <w:tcPr>
            <w:tcW w:type="dxa" w:w="4320"/>
          </w:tcPr>
          <w:p>
            <w:r>
              <w:t>SLA-Verletzung</w:t>
            </w:r>
          </w:p>
        </w:tc>
        <w:tc>
          <w:tcPr>
            <w:tcW w:type="dxa" w:w="4320"/>
          </w:tcPr>
          <w:p>
            <w:r>
              <w:t>ggf. ja, siehe Berichts-Anhang</w:t>
            </w:r>
          </w:p>
        </w:tc>
      </w:tr>
      <w:tr>
        <w:tc>
          <w:tcPr>
            <w:tcW w:type="dxa" w:w="4320"/>
          </w:tcPr>
          <w:p>
            <w:r>
              <w:t>Kundenbeschwerden / OEM-Impact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  <w:tr>
        <w:tc>
          <w:tcPr>
            <w:tcW w:type="dxa" w:w="4320"/>
          </w:tcPr>
          <w:p>
            <w:r>
              <w:t>Datenverlust</w:t>
            </w:r>
          </w:p>
        </w:tc>
        <w:tc>
          <w:tcPr>
            <w:tcW w:type="dxa" w:w="4320"/>
          </w:tcPr>
          <w:p>
            <w:r>
              <w:t>nein</w:t>
            </w:r>
          </w:p>
        </w:tc>
      </w:tr>
    </w:tbl>
    <w:p>
      <w:pPr>
        <w:pStyle w:val="Heading3"/>
      </w:pPr>
      <w:r>
        <w:t>6. Praeventive Massnahmen</w:t>
      </w:r>
    </w:p>
    <w:p>
      <w:r>
        <w:t>Aufnahme einer praeventiven Massnahme in das IT-Risikoregister (Eigentuemer Andreas Behrens). Update der Monitoring-Schwellwerte (Prometheus, Sentinel) und Anpassung Runbooks im Confluence. Ueberpruefung Lessons-Learned im naechsten IT-Steering Committee.</w:t>
      </w:r>
    </w:p>
    <w:p>
      <w:pPr>
        <w:pStyle w:val="Heading3"/>
      </w:pPr>
      <w:r>
        <w:t>7. Freigabe RCA</w:t>
      </w:r>
    </w:p>
    <w:p>
      <w:r>
        <w:t>Ort, Datum: Stuttgart, den 16.10.2023 04:18</w:t>
      </w:r>
    </w:p>
    <w:p>
      <w:r>
        <w:t>_________________________            _________________________</w:t>
        <w:br/>
        <w:t>Vinod Kumar                          Christian Roeder</w:t>
        <w:br/>
        <w:t>Major Incident Manager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