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Lindwurmstrasse 88, 80337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Jahresgespraech 2023 - Dr. Wolfgang Fischer</w:t>
      </w:r>
    </w:p>
    <w:p>
      <w:pPr>
        <w:jc w:val="center"/>
      </w:pPr>
      <w:r>
        <w:t>Mitarbeiterjahresgespraech / Pers.-Nr. RSG-073</w:t>
      </w:r>
    </w:p>
    <w:p/>
    <w:p>
      <w:pPr>
        <w:pStyle w:val="Heading3"/>
      </w:pPr>
      <w:r>
        <w:t>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Mitarbeiter</w:t>
            </w:r>
          </w:p>
        </w:tc>
        <w:tc>
          <w:tcPr>
            <w:tcW w:type="dxa" w:w="4320"/>
          </w:tcPr>
          <w:p>
            <w:r>
              <w:t>Dr. Wolfgang Fischer</w:t>
            </w:r>
          </w:p>
        </w:tc>
      </w:tr>
      <w:tr>
        <w:tc>
          <w:tcPr>
            <w:tcW w:type="dxa" w:w="4320"/>
          </w:tcPr>
          <w:p>
            <w:r>
              <w:t>Personalnummer</w:t>
            </w:r>
          </w:p>
        </w:tc>
        <w:tc>
          <w:tcPr>
            <w:tcW w:type="dxa" w:w="4320"/>
          </w:tcPr>
          <w:p>
            <w:r>
              <w:t>RSG-073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Senior Engineer ADAS Embedded SW</w:t>
            </w:r>
          </w:p>
        </w:tc>
      </w:tr>
      <w:tr>
        <w:tc>
          <w:tcPr>
            <w:tcW w:type="dxa" w:w="4320"/>
          </w:tcPr>
          <w:p>
            <w:r>
              <w:t>Eintrittsdatum</w:t>
            </w:r>
          </w:p>
        </w:tc>
        <w:tc>
          <w:tcPr>
            <w:tcW w:type="dxa" w:w="4320"/>
          </w:tcPr>
          <w:p>
            <w:r>
              <w:t>01.10.2008</w:t>
            </w:r>
          </w:p>
        </w:tc>
      </w:tr>
      <w:tr>
        <w:tc>
          <w:tcPr>
            <w:tcW w:type="dxa" w:w="4320"/>
          </w:tcPr>
          <w:p>
            <w:r>
              <w:t>Vorgesetzter</w:t>
            </w:r>
          </w:p>
        </w:tc>
        <w:tc>
          <w:tcPr>
            <w:tcW w:type="dxa" w:w="4320"/>
          </w:tcPr>
          <w:p>
            <w:r>
              <w:t>Lars Wittmann, Lead Developer RSG</w:t>
            </w:r>
          </w:p>
        </w:tc>
      </w:tr>
      <w:tr>
        <w:tc>
          <w:tcPr>
            <w:tcW w:type="dxa" w:w="4320"/>
          </w:tcPr>
          <w:p>
            <w:r>
              <w:t>Berichtsperiode</w:t>
            </w:r>
          </w:p>
        </w:tc>
        <w:tc>
          <w:tcPr>
            <w:tcW w:type="dxa" w:w="4320"/>
          </w:tcPr>
          <w:p>
            <w:r>
              <w:t>01.01.2023 - 31.12.2023</w:t>
            </w:r>
          </w:p>
        </w:tc>
      </w:tr>
      <w:tr>
        <w:tc>
          <w:tcPr>
            <w:tcW w:type="dxa" w:w="4320"/>
          </w:tcPr>
          <w:p>
            <w:r>
              <w:t>Gespraechs-Datum</w:t>
            </w:r>
          </w:p>
        </w:tc>
        <w:tc>
          <w:tcPr>
            <w:tcW w:type="dxa" w:w="4320"/>
          </w:tcPr>
          <w:p>
            <w:r>
              <w:t>08.12.2023</w:t>
            </w:r>
          </w:p>
        </w:tc>
      </w:tr>
    </w:tbl>
    <w:p>
      <w:pPr>
        <w:pStyle w:val="Heading3"/>
      </w:pPr>
      <w:r>
        <w:t>1. Rueckblick und Zielerreichung 2023</w:t>
      </w:r>
    </w:p>
    <w:p>
      <w:r>
        <w:t>Herr Dr. Fischer hat die im Vorjahr vereinbarten Ziele in 2023 weit ueberwiegend erreicht. Im Projekt ADAS-V4D (Radar Fusion Steuergeraet) hat er die technische Verantwortung fuer die Sensordaten-Fusion uebernommen und die ASIL-B Sicherheitsanforderungen gemaess ISO 26262 erfolgreich implementiert. Sein Team (3 Junior-Entwickler, 2 Werkstudenten) wurde stabil weiterentwickelt; Mitarbeitendenzufriedenheit (Pulse-Befragung) liegt bei 4,4/5,0 (Vorjahr 4,2).</w:t>
      </w:r>
    </w:p>
    <w:p>
      <w:pPr>
        <w:pStyle w:val="Heading3"/>
      </w:pPr>
      <w:r>
        <w:t>2. Zielerreichungsgrad nach OKR-Bewertung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Gewichtung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ASIL-B Lieferung Mercedes EQS-Projekt</w:t>
            </w:r>
          </w:p>
        </w:tc>
        <w:tc>
          <w:tcPr>
            <w:tcW w:type="dxa" w:w="2160"/>
          </w:tcPr>
          <w:p>
            <w:r>
              <w:t>30 %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5 - uebertroffen</w:t>
            </w:r>
          </w:p>
        </w:tc>
      </w:tr>
      <w:tr>
        <w:tc>
          <w:tcPr>
            <w:tcW w:type="dxa" w:w="2160"/>
          </w:tcPr>
          <w:p>
            <w:r>
              <w:t>Code-Quality KPI (SonarQube)</w:t>
            </w:r>
          </w:p>
        </w:tc>
        <w:tc>
          <w:tcPr>
            <w:tcW w:type="dxa" w:w="2160"/>
          </w:tcPr>
          <w:p>
            <w:r>
              <w:t>20 %</w:t>
            </w:r>
          </w:p>
        </w:tc>
        <w:tc>
          <w:tcPr>
            <w:tcW w:type="dxa" w:w="2160"/>
          </w:tcPr>
          <w:p>
            <w:r>
              <w:t>92 %</w:t>
            </w:r>
          </w:p>
        </w:tc>
        <w:tc>
          <w:tcPr>
            <w:tcW w:type="dxa" w:w="2160"/>
          </w:tcPr>
          <w:p>
            <w:r>
              <w:t>4 - erreicht</w:t>
            </w:r>
          </w:p>
        </w:tc>
      </w:tr>
      <w:tr>
        <w:tc>
          <w:tcPr>
            <w:tcW w:type="dxa" w:w="2160"/>
          </w:tcPr>
          <w:p>
            <w:r>
              <w:t>Patente / IP</w:t>
            </w:r>
          </w:p>
        </w:tc>
        <w:tc>
          <w:tcPr>
            <w:tcW w:type="dxa" w:w="2160"/>
          </w:tcPr>
          <w:p>
            <w:r>
              <w:t>15 %</w:t>
            </w:r>
          </w:p>
        </w:tc>
        <w:tc>
          <w:tcPr>
            <w:tcW w:type="dxa" w:w="2160"/>
          </w:tcPr>
          <w:p>
            <w:r>
              <w:t>1 Anmeldung eingereicht</w:t>
            </w:r>
          </w:p>
        </w:tc>
        <w:tc>
          <w:tcPr>
            <w:tcW w:type="dxa" w:w="2160"/>
          </w:tcPr>
          <w:p>
            <w:r>
              <w:t>4 - erreicht</w:t>
            </w:r>
          </w:p>
        </w:tc>
      </w:tr>
      <w:tr>
        <w:tc>
          <w:tcPr>
            <w:tcW w:type="dxa" w:w="2160"/>
          </w:tcPr>
          <w:p>
            <w:r>
              <w:t>Team-Coaching</w:t>
            </w:r>
          </w:p>
        </w:tc>
        <w:tc>
          <w:tcPr>
            <w:tcW w:type="dxa" w:w="2160"/>
          </w:tcPr>
          <w:p>
            <w:r>
              <w:t>20 %</w:t>
            </w:r>
          </w:p>
        </w:tc>
        <w:tc>
          <w:tcPr>
            <w:tcW w:type="dxa" w:w="2160"/>
          </w:tcPr>
          <w:p>
            <w:r>
              <w:t>alle JG der Mitarbeiter durchgefuehrt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Konzern-Awareness (TISAX)</w:t>
            </w:r>
          </w:p>
        </w:tc>
        <w:tc>
          <w:tcPr>
            <w:tcW w:type="dxa" w:w="2160"/>
          </w:tcPr>
          <w:p>
            <w:r>
              <w:t>15 %</w:t>
            </w:r>
          </w:p>
        </w:tc>
        <w:tc>
          <w:tcPr>
            <w:tcW w:type="dxa" w:w="2160"/>
          </w:tcPr>
          <w:p>
            <w:r>
              <w:t>Modul absolviert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pPr>
        <w:pStyle w:val="Heading3"/>
      </w:pPr>
      <w:r>
        <w:t>3. Kompetenzen und Entwicklung</w:t>
      </w:r>
    </w:p>
    <w:p>
      <w:r>
        <w:t>Herr Dr. Fischer bringt herausragende technische Tiefe in Sensorfusion, Kalman-Filter und FuSi-Architektur. Entwicklungsfeld: Fuehrungskommunikation - Coaching durch externen Coach (Frau Dr. Niemann) wird in 2024 fortgesetzt. Beitrag zur ASPICE Level-3-Vorbereitung der RSG ist sehr geschaetzt.</w:t>
      </w:r>
    </w:p>
    <w:p>
      <w:pPr>
        <w:pStyle w:val="Heading3"/>
      </w:pPr>
      <w:r>
        <w:t>4. Ziele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Ziel</w:t>
            </w:r>
          </w:p>
        </w:tc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Gewichtung</w:t>
            </w:r>
          </w:p>
        </w:tc>
      </w:tr>
      <w:tr>
        <w:tc>
          <w:tcPr>
            <w:tcW w:type="dxa" w:w="2880"/>
          </w:tcPr>
          <w:p>
            <w:r>
              <w:t>ADAS-V4D-Plattform: SW-Release v2.1 (BMW)</w:t>
            </w:r>
          </w:p>
        </w:tc>
        <w:tc>
          <w:tcPr>
            <w:tcW w:type="dxa" w:w="2880"/>
          </w:tcPr>
          <w:p>
            <w:r>
              <w:t>Termin 30.06.2024</w:t>
            </w:r>
          </w:p>
        </w:tc>
        <w:tc>
          <w:tcPr>
            <w:tcW w:type="dxa" w:w="2880"/>
          </w:tcPr>
          <w:p>
            <w:r>
              <w:t>30 %</w:t>
            </w:r>
          </w:p>
        </w:tc>
      </w:tr>
      <w:tr>
        <w:tc>
          <w:tcPr>
            <w:tcW w:type="dxa" w:w="2880"/>
          </w:tcPr>
          <w:p>
            <w:r>
              <w:t>Aufbau Junior-Programm (2 neue Engineers)</w:t>
            </w:r>
          </w:p>
        </w:tc>
        <w:tc>
          <w:tcPr>
            <w:tcW w:type="dxa" w:w="2880"/>
          </w:tcPr>
          <w:p>
            <w:r>
              <w:t>2 Onboardings &lt;90 Tage</w:t>
            </w:r>
          </w:p>
        </w:tc>
        <w:tc>
          <w:tcPr>
            <w:tcW w:type="dxa" w:w="2880"/>
          </w:tcPr>
          <w:p>
            <w:r>
              <w:t>20 %</w:t>
            </w:r>
          </w:p>
        </w:tc>
      </w:tr>
      <w:tr>
        <w:tc>
          <w:tcPr>
            <w:tcW w:type="dxa" w:w="2880"/>
          </w:tcPr>
          <w:p>
            <w:r>
              <w:t>IP / Patente</w:t>
            </w:r>
          </w:p>
        </w:tc>
        <w:tc>
          <w:tcPr>
            <w:tcW w:type="dxa" w:w="2880"/>
          </w:tcPr>
          <w:p>
            <w:r>
              <w:t>2 neue Anmeldungen</w:t>
            </w:r>
          </w:p>
        </w:tc>
        <w:tc>
          <w:tcPr>
            <w:tcW w:type="dxa" w:w="2880"/>
          </w:tcPr>
          <w:p>
            <w:r>
              <w:t>15 %</w:t>
            </w:r>
          </w:p>
        </w:tc>
      </w:tr>
      <w:tr>
        <w:tc>
          <w:tcPr>
            <w:tcW w:type="dxa" w:w="2880"/>
          </w:tcPr>
          <w:p>
            <w:r>
              <w:t>Konzern-Wissenstransfer Embedded SW</w:t>
            </w:r>
          </w:p>
        </w:tc>
        <w:tc>
          <w:tcPr>
            <w:tcW w:type="dxa" w:w="2880"/>
          </w:tcPr>
          <w:p>
            <w:r>
              <w:t>4 Sessions an Konzern</w:t>
            </w:r>
          </w:p>
        </w:tc>
        <w:tc>
          <w:tcPr>
            <w:tcW w:type="dxa" w:w="2880"/>
          </w:tcPr>
          <w:p>
            <w:r>
              <w:t>15 %</w:t>
            </w:r>
          </w:p>
        </w:tc>
      </w:tr>
      <w:tr>
        <w:tc>
          <w:tcPr>
            <w:tcW w:type="dxa" w:w="2880"/>
          </w:tcPr>
          <w:p>
            <w:r>
              <w:t>Persoenliche Entwicklung Fuehrungs-KPI</w:t>
            </w:r>
          </w:p>
        </w:tc>
        <w:tc>
          <w:tcPr>
            <w:tcW w:type="dxa" w:w="2880"/>
          </w:tcPr>
          <w:p>
            <w:r>
              <w:t>Pulse-Score &gt;= 4,5</w:t>
            </w:r>
          </w:p>
        </w:tc>
        <w:tc>
          <w:tcPr>
            <w:tcW w:type="dxa" w:w="2880"/>
          </w:tcPr>
          <w:p>
            <w:r>
              <w:t>20 %</w:t>
            </w:r>
          </w:p>
        </w:tc>
      </w:tr>
    </w:tbl>
    <w:p>
      <w:pPr>
        <w:pStyle w:val="Heading3"/>
      </w:pPr>
      <w:r>
        <w:t>5. Verguetung und Bonus</w:t>
      </w:r>
    </w:p>
    <w:p>
      <w:r>
        <w:t>Verguetungsanpassung 2024 erfolgt im Rahmen der Konzern-Salary-Review (Anhang Tarifgitter RSG). Bonus 2023 wird mit Faktor 1,15 berechnet (Ziel: 100 %). Auszahlung im Februar 2024 gemaess Konzern-Bonus-Richtlinie.</w:t>
      </w:r>
    </w:p>
    <w:p>
      <w:pPr>
        <w:pStyle w:val="Heading3"/>
      </w:pPr>
      <w:r>
        <w:t>6. Bestaetigung</w:t>
      </w:r>
    </w:p>
    <w:p>
      <w:r>
        <w:t>Ort, Datum: Muenchen, den 08.12.2023</w:t>
      </w:r>
    </w:p>
    <w:p>
      <w:r>
        <w:t>_________________________            _________________________</w:t>
        <w:br/>
        <w:t>Dr. Wolfgang Fischer                          Lars Wittmann</w:t>
        <w:br/>
        <w:t>Senior Engineer ADAS                          Lead Developer / Vorgesetzter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