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- Heilbronn Plant Expansion (Halle 4 / BMS-12)</w:t>
      </w:r>
    </w:p>
    <w:p>
      <w:pPr>
        <w:jc w:val="center"/>
      </w:pPr>
      <w:r>
        <w:t>PRJ-2023-005 / Werks-Erweiterung Heilbronn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PRJ-2023-005 Heilbronn Plant Expansion</w:t>
            </w:r>
          </w:p>
        </w:tc>
      </w:tr>
      <w:tr>
        <w:tc>
          <w:tcPr>
            <w:tcW w:type="dxa" w:w="4320"/>
          </w:tcPr>
          <w:p>
            <w:r>
              <w:t>Dokument</w:t>
            </w:r>
          </w:p>
        </w:tc>
        <w:tc>
          <w:tcPr>
            <w:tcW w:type="dxa" w:w="4320"/>
          </w:tcPr>
          <w:p>
            <w:r>
              <w:t>Pflichtenheft (Technical Specification)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Maier, Werkleiter REG</w:t>
            </w:r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  <w:tr>
        <w:tc>
          <w:tcPr>
            <w:tcW w:type="dxa" w:w="4320"/>
          </w:tcPr>
          <w:p>
            <w:r>
              <w:t>Architektur-Verantwortung IT</w:t>
            </w:r>
          </w:p>
        </w:tc>
        <w:tc>
          <w:tcPr>
            <w:tcW w:type="dxa" w:w="4320"/>
          </w:tcPr>
          <w:p>
            <w:r>
              <w:t>Andreas Behrens, Lead IT-Architekt Konzern</w:t>
            </w:r>
          </w:p>
        </w:tc>
      </w:tr>
    </w:tbl>
    <w:p>
      <w:pPr>
        <w:pStyle w:val="Heading3"/>
      </w:pPr>
      <w:r>
        <w:t>1. Projektkontext</w:t>
      </w:r>
    </w:p>
    <w:p>
      <w:r>
        <w:t>Erweiterung des Werks Heilbronn um Halle 4 (BMS-Linie 'BMS-12 EV-Pack 800 V'), inkl. Neuaufbau der Werks-IT-Infrastruktur (Edge-Cluster, OT-Switche, MES-Lokal), Modernisierung der bestehenden Linien-Anbindung an SAP DMC / SAP S/4HANA und Integration in Konzern-SIEM.</w:t>
      </w:r>
    </w:p>
    <w:p>
      <w:pPr>
        <w:pStyle w:val="Heading3"/>
      </w:pPr>
      <w:r>
        <w:t>2. Systemarchitektur</w:t>
      </w:r>
    </w:p>
    <w:p>
      <w:r>
        <w:t>Halle 4 erhaelt einen lokalen Edge-Cluster (Dell PowerEdge R650, 4 Knoten, VMware vSphere 8) fuer die latenzkritische MES-Funktionalitaet sowie die Verbindung zu SPS- und Roboter-Steuerungen (Bosch Rexroth MTX, ABB IRC5). Die Anbindung an das Konzern-RZ Stuttgart erfolgt ueber redundante 10-Gbit-Glasfaser. SAP DMC (MES-Cloud) ist im Konzern-Tenant gehostet.</w:t>
      </w:r>
    </w:p>
    <w:p>
      <w:pPr>
        <w:pStyle w:val="Heading3"/>
      </w:pPr>
      <w:r>
        <w:t>3. Softwarearchitektur</w:t>
      </w:r>
    </w:p>
    <w:p>
      <w:r>
        <w:t>MES-Application Layer in SAP DMC; Hardware Abstraction Layer (HAL) basiert auf OPC-UA-Servern (Kepware) und MQTT-Broker (HiveMQ) im OT-DMZ. Application Layer (Werkerterminals) wird ueber Microsoft Surface Pro 9 (Defender for Endpoint, Intune) mit Bisson-Werker-App betrieben.</w:t>
      </w:r>
    </w:p>
    <w:p>
      <w:pPr>
        <w:pStyle w:val="Heading3"/>
      </w:pPr>
      <w:r>
        <w:t>4. Anforderungen Sicherheit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Anforderung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Segmentation</w:t>
            </w:r>
          </w:p>
        </w:tc>
        <w:tc>
          <w:tcPr>
            <w:tcW w:type="dxa" w:w="4320"/>
          </w:tcPr>
          <w:p>
            <w:r>
              <w:t>OT-Level 0-3 strikt durch Stormshield IF-Firewalls getrennt</w:t>
            </w:r>
          </w:p>
        </w:tc>
      </w:tr>
      <w:tr>
        <w:tc>
          <w:tcPr>
            <w:tcW w:type="dxa" w:w="4320"/>
          </w:tcPr>
          <w:p>
            <w:r>
              <w:t>Authentifizierung</w:t>
            </w:r>
          </w:p>
        </w:tc>
        <w:tc>
          <w:tcPr>
            <w:tcW w:type="dxa" w:w="4320"/>
          </w:tcPr>
          <w:p>
            <w:r>
              <w:t>alle Werkertypen ueber Smartcard + PIN; Service-Engineer ueber Entra ID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SIEM-Anbindung an Microsoft Sentinel; OT-Sensoren via Claroty Sensor</w:t>
            </w:r>
          </w:p>
        </w:tc>
      </w:tr>
      <w:tr>
        <w:tc>
          <w:tcPr>
            <w:tcW w:type="dxa" w:w="4320"/>
          </w:tcPr>
          <w:p>
            <w:r>
              <w:t>Patching</w:t>
            </w:r>
          </w:p>
        </w:tc>
        <w:tc>
          <w:tcPr>
            <w:tcW w:type="dxa" w:w="4320"/>
          </w:tcPr>
          <w:p>
            <w:r>
              <w:t>Patch-Fenster wochentlich Sonntag 22-04 Uhr in Abstimmung mit Produktion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Veeam B&amp;R, RPO 15 min, Offsite zum Stuttgart RZ</w:t>
            </w:r>
          </w:p>
        </w:tc>
      </w:tr>
    </w:tbl>
    <w:p>
      <w:pPr>
        <w:pStyle w:val="Heading3"/>
      </w:pPr>
      <w:r>
        <w:t>5. Schnittstellen</w:t>
      </w:r>
    </w:p>
    <w:p>
      <w:r>
        <w:t>SAP DMC &lt;-&gt; SAP S/4HANA (PI/PO), SAP DMC &lt;-&gt; SPS (OPC-UA), SAP DMC &lt;-&gt; WMS (iDoc), Werker-App &lt;-&gt; SAP DMC (REST), Auditing &lt;-&gt; Splunk via Sentinel-Forwarder.</w:t>
      </w:r>
    </w:p>
    <w:p>
      <w:pPr>
        <w:pStyle w:val="Heading3"/>
      </w:pPr>
      <w:r>
        <w:t>6. Annahmen, Abhaengigkeiten, Risiken</w:t>
      </w:r>
    </w:p>
    <w:p>
      <w:r>
        <w:t>Annahme: Hallen-Anbindung an Werks-Backbone erfolgt fertiggestellt bis 31.10.2023. Abhaengigkeit: SAP DMC Release 2403 fuer einige Funktionen. Risiken: Liefertermin Dell PowerEdge (Q4/2023 Allokationsrisiko); OT-Switche Cisco IE3300 Lieferzeit derzeit 28 Wochen.</w:t>
      </w:r>
    </w:p>
    <w:p>
      <w:pPr>
        <w:pStyle w:val="Heading3"/>
      </w:pPr>
      <w:r>
        <w:t>7. Freigabe</w:t>
      </w:r>
    </w:p>
    <w:p>
      <w:r>
        <w:t>Ort, Datum: Heilbronn, den 22.06.2023</w:t>
      </w:r>
    </w:p>
    <w:p>
      <w:r>
        <w:t>_________________________            _________________________</w:t>
        <w:br/>
        <w:t>Andreas Maier                          Andreas Behrens</w:t>
        <w:br/>
        <w:t>Werkleiter REG Heilbronn                          Lead IT-Architekt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