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Vinarska 18, 60300 Brno  |  OR Bj 12378, NIP CZ29845671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RCZ-&gt;REA 02/2020</w:t>
      </w:r>
    </w:p>
    <w:p>
      <w:pPr>
        <w:jc w:val="center"/>
      </w:pPr>
      <w:r>
        <w:t>Konzern-Intercompany / Cost-Plus 5 %</w:t>
      </w:r>
    </w:p>
    <w:p/>
    <w:p>
      <w:pPr>
        <w:pStyle w:val="Heading3"/>
      </w:pPr>
      <w:r>
        <w:t>Rechnungs-Kopf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RCZ-IC-2020-02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2-tens des Monats 02/2020</w:t>
            </w:r>
          </w:p>
        </w:tc>
      </w:tr>
      <w:tr>
        <w:tc>
          <w:tcPr>
            <w:tcW w:type="dxa" w:w="4320"/>
          </w:tcPr>
          <w:p>
            <w:r>
              <w:t>Leistungsdatum</w:t>
            </w:r>
          </w:p>
        </w:tc>
        <w:tc>
          <w:tcPr>
            <w:tcW w:type="dxa" w:w="4320"/>
          </w:tcPr>
          <w:p>
            <w:r>
              <w:t>Monat 02/2020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CZ s.r.o., Brno</w:t>
            </w:r>
          </w:p>
        </w:tc>
      </w:tr>
      <w:tr>
        <w:tc>
          <w:tcPr>
            <w:tcW w:type="dxa" w:w="4320"/>
          </w:tcPr>
          <w:p>
            <w:r>
              <w:t>Empfaenger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Empfaenger USt-ID</w:t>
            </w:r>
          </w:p>
        </w:tc>
        <w:tc>
          <w:tcPr>
            <w:tcW w:type="dxa" w:w="4320"/>
          </w:tcPr>
          <w:p>
            <w:r>
              <w:t>DE 815 421 738</w:t>
            </w:r>
          </w:p>
        </w:tc>
      </w:tr>
      <w:tr>
        <w:tc>
          <w:tcPr>
            <w:tcW w:type="dxa" w:w="4320"/>
          </w:tcPr>
          <w:p>
            <w:r>
              <w:t>Lieferant USt-ID</w:t>
            </w:r>
          </w:p>
        </w:tc>
        <w:tc>
          <w:tcPr>
            <w:tcW w:type="dxa" w:w="4320"/>
          </w:tcPr>
          <w:p>
            <w:r>
              <w:t>CZ29845671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60 Tage netto (Konzern-Netting via Group Treasury, Markus Pflanzer)</w:t>
            </w:r>
          </w:p>
        </w:tc>
      </w:tr>
      <w:tr>
        <w:tc>
          <w:tcPr>
            <w:tcW w:type="dxa" w:w="4320"/>
          </w:tcPr>
          <w:p>
            <w:r>
              <w:t>Verrechnungspreis-Grundlage</w:t>
            </w:r>
          </w:p>
        </w:tc>
        <w:tc>
          <w:tcPr>
            <w:tcW w:type="dxa" w:w="4320"/>
          </w:tcPr>
          <w:p>
            <w:r>
              <w:t>Cost-Plus 5 % gemaess konzerneinheitlicher Verrechnungspreis-Richtlinie 2021 (REA_VP_TP_GuideLine_2021)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Steckverbinder-Baugruppen an Konzernmutter. Die Leistung wird gemaess Konzern-Liefer-Rahmenvertrag (IC-FRA-2022 zwischen REA und allen 100 %-Toechtern) abgerechnet. Mengen-Details, Materialnummern und Chargen sind in der separaten Liefer- und Stuecklisten-Aufstellung (SAP-Anhang) enthalten.</w:t>
      </w:r>
    </w:p>
    <w:p>
      <w:pPr>
        <w:pStyle w:val="Heading3"/>
      </w:pPr>
      <w:r>
        <w:t>Rechnungspositionen (vereinfachte Konzern-IC-Position)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Beschreibung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EUR</w:t>
            </w:r>
          </w:p>
        </w:tc>
        <w:tc>
          <w:tcPr>
            <w:tcW w:type="dxa" w:w="1728"/>
          </w:tcPr>
          <w:p>
            <w:r>
              <w:t>Summe EUR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IC-Leistung Lieferung Steckverbinder-Baugruppen an Konzernmutter (Cost-Plus 5 %)</w:t>
            </w:r>
          </w:p>
        </w:tc>
        <w:tc>
          <w:tcPr>
            <w:tcW w:type="dxa" w:w="1728"/>
          </w:tcPr>
          <w:p>
            <w:r>
              <w:t>monatlich</w:t>
            </w:r>
          </w:p>
        </w:tc>
        <w:tc>
          <w:tcPr>
            <w:tcW w:type="dxa" w:w="1728"/>
          </w:tcPr>
          <w:p>
            <w:r>
              <w:t>142.800</w:t>
            </w:r>
          </w:p>
        </w:tc>
        <w:tc>
          <w:tcPr>
            <w:tcW w:type="dxa" w:w="1728"/>
          </w:tcPr>
          <w:p>
            <w:r>
              <w:t>142.800</w:t>
            </w:r>
          </w:p>
        </w:tc>
      </w:tr>
    </w:tbl>
    <w:p>
      <w:pPr>
        <w:pStyle w:val="Heading3"/>
      </w:pPr>
      <w:r>
        <w:t>Steuern und Konditionen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Netto</w:t>
            </w:r>
          </w:p>
        </w:tc>
        <w:tc>
          <w:tcPr>
            <w:tcW w:type="dxa" w:w="4320"/>
          </w:tcPr>
          <w:p>
            <w:r>
              <w:t>142.800 EUR</w:t>
            </w:r>
          </w:p>
        </w:tc>
      </w:tr>
      <w:tr>
        <w:tc>
          <w:tcPr>
            <w:tcW w:type="dxa" w:w="4320"/>
          </w:tcPr>
          <w:p>
            <w:r>
              <w:t>Umsatzsteuer</w:t>
            </w:r>
          </w:p>
        </w:tc>
        <w:tc>
          <w:tcPr>
            <w:tcW w:type="dxa" w:w="4320"/>
          </w:tcPr>
          <w:p>
            <w:r>
              <w:t>Reverse-Charge (B2B EU, §13b UStG / Art. 196 MwStRL); 0 EUR</w:t>
            </w:r>
          </w:p>
        </w:tc>
      </w:tr>
      <w:tr>
        <w:tc>
          <w:tcPr>
            <w:tcW w:type="dxa" w:w="4320"/>
          </w:tcPr>
          <w:p>
            <w:r>
              <w:t>Brutto</w:t>
            </w:r>
          </w:p>
        </w:tc>
        <w:tc>
          <w:tcPr>
            <w:tcW w:type="dxa" w:w="4320"/>
          </w:tcPr>
          <w:p>
            <w:r>
              <w:t>142.800 EUR</w:t>
            </w:r>
          </w:p>
        </w:tc>
      </w:tr>
      <w:tr>
        <w:tc>
          <w:tcPr>
            <w:tcW w:type="dxa" w:w="4320"/>
          </w:tcPr>
          <w:p>
            <w:r>
              <w:t>Bankverbindung</w:t>
            </w:r>
          </w:p>
        </w:tc>
        <w:tc>
          <w:tcPr>
            <w:tcW w:type="dxa" w:w="4320"/>
          </w:tcPr>
          <w:p>
            <w:r>
              <w:t>Konzern-Netting (kein Direkt-Zahlungsfluss, Verrechnung ueber Group Treasury Konto bei Deutsche Bank, IBAN DE89..0001)</w:t>
            </w:r>
          </w:p>
        </w:tc>
      </w:tr>
      <w:tr>
        <w:tc>
          <w:tcPr>
            <w:tcW w:type="dxa" w:w="4320"/>
          </w:tcPr>
          <w:p>
            <w:r>
              <w:t>Verrechnungspreis-Methodik</w:t>
            </w:r>
          </w:p>
        </w:tc>
        <w:tc>
          <w:tcPr>
            <w:tcW w:type="dxa" w:w="4320"/>
          </w:tcPr>
          <w:p>
            <w:r>
              <w:t>Cost-Plus (CP), benchmarked alle 2 Jahre durch KPMG (zuletzt 2022)</w:t>
            </w:r>
          </w:p>
        </w:tc>
      </w:tr>
    </w:tbl>
    <w:p>
      <w:pPr>
        <w:pStyle w:val="Heading3"/>
      </w:pPr>
      <w:r>
        <w:t>Verweis Verrechnungspreis-Dokumentation</w:t>
      </w:r>
    </w:p>
    <w:p>
      <w:r>
        <w:t>Diese Intercompany-Rechnung ist Teil der konzernweiten Verrechnungspreis-Dokumentation gemaess § 90 Abs. 3 AO (Local File / Master File). Verantwortlich: Dr. Heike Berger, Group Tax Director. Bei Aussenpruefung sind die zugrundeliegenden Cost-Pools, Allokationen und Margen vorzulegen. Die Konzern-Verrechnungspreis-Richtlinie 2021 (Version 2.0) regelt das Berichtswesen detailliert.</w:t>
      </w:r>
    </w:p>
    <w:p>
      <w:pPr>
        <w:pStyle w:val="Heading3"/>
      </w:pPr>
      <w:r>
        <w:t>Unterschriften</w:t>
      </w:r>
    </w:p>
    <w:p>
      <w:r>
        <w:t>Ort, Datum: Brno, den 02/2020</w:t>
      </w:r>
    </w:p>
    <w:p>
      <w:r>
        <w:t>_________________________            _________________________</w:t>
        <w:br/>
        <w:t>CFO Brno                          Laura Bauer</w:t>
        <w:br/>
        <w:t>kfm. Leiter Brennhagen CZ s.r.o.                          CFO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