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Business Continuity Plan IT (BCP) 2023</w:t>
      </w:r>
    </w:p>
    <w:p>
      <w:pPr>
        <w:jc w:val="center"/>
      </w:pPr>
      <w:r>
        <w:t>REA-BCP-IT-2023</w:t>
      </w:r>
    </w:p>
    <w:p/>
    <w:p>
      <w:pPr>
        <w:pStyle w:val="Heading3"/>
      </w:pPr>
      <w:r>
        <w:t>Dokumentenkontrolle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>
              <w:t>Business Continuity Plan IT (BCP)</w:t>
            </w:r>
          </w:p>
        </w:tc>
      </w:tr>
      <w:tr>
        <w:tc>
          <w:tcPr>
            <w:tcW w:type="dxa" w:w="4320"/>
          </w:tcPr>
          <w:p>
            <w:r>
              <w:t>Kuerzel</w:t>
            </w:r>
          </w:p>
        </w:tc>
        <w:tc>
          <w:tcPr>
            <w:tcW w:type="dxa" w:w="4320"/>
          </w:tcPr>
          <w:p>
            <w:r>
              <w:t>REA-BCP-IT-2023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Verantwortlich (BCM-Lead)</w:t>
            </w:r>
          </w:p>
        </w:tc>
        <w:tc>
          <w:tcPr>
            <w:tcW w:type="dxa" w:w="4320"/>
          </w:tcPr>
          <w:p>
            <w:r>
              <w:t>Christian Roeder, Head of Group IT Operations</w:t>
            </w:r>
          </w:p>
        </w:tc>
      </w:tr>
      <w:tr>
        <w:tc>
          <w:tcPr>
            <w:tcW w:type="dxa" w:w="4320"/>
          </w:tcPr>
          <w:p>
            <w:r>
              <w:t>Mit-Verantwortlich</w:t>
            </w:r>
          </w:p>
        </w:tc>
        <w:tc>
          <w:tcPr>
            <w:tcW w:type="dxa" w:w="4320"/>
          </w:tcPr>
          <w:p>
            <w:r>
              <w:t>Olaf Stege, BCM-Koordinator Konzern</w:t>
            </w:r>
          </w:p>
        </w:tc>
      </w:tr>
      <w:tr>
        <w:tc>
          <w:tcPr>
            <w:tcW w:type="dxa" w:w="4320"/>
          </w:tcPr>
          <w:p>
            <w:r>
              <w:t>Inkrafttreten</w:t>
            </w:r>
          </w:p>
        </w:tc>
        <w:tc>
          <w:tcPr>
            <w:tcW w:type="dxa" w:w="4320"/>
          </w:tcPr>
          <w:p>
            <w:r>
              <w:t>01.03.2023</w:t>
            </w:r>
          </w:p>
        </w:tc>
      </w:tr>
    </w:tbl>
    <w:p>
      <w:pPr>
        <w:pStyle w:val="Heading3"/>
      </w:pPr>
      <w:r>
        <w:t>1. Zweck</w:t>
      </w:r>
    </w:p>
    <w:p>
      <w:r>
        <w:t>Der BCP IT beschreibt Massnahmen zur Aufrechterhaltung der IT-Services bei Stoerungen, Ausfaellen oder Katastrophen. Er ist Bestandteil des konzernweiten Business Continuity Managements (BCM) und ist abgestimmt mit den Werks-Notfallplaenen (REG, RSG, RPL, RCZ, RHU, RCN).</w:t>
      </w:r>
    </w:p>
    <w:p>
      <w:pPr>
        <w:pStyle w:val="Heading3"/>
      </w:pPr>
      <w:r>
        <w:t>2. Geschaeftsprozess-Kritikalitaet (BIA 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Geschaeftsprozess</w:t>
            </w:r>
          </w:p>
        </w:tc>
        <w:tc>
          <w:tcPr>
            <w:tcW w:type="dxa" w:w="2160"/>
          </w:tcPr>
          <w:p>
            <w:r>
              <w:t>Kritikalitaet</w:t>
            </w:r>
          </w:p>
        </w:tc>
        <w:tc>
          <w:tcPr>
            <w:tcW w:type="dxa" w:w="2160"/>
          </w:tcPr>
          <w:p>
            <w:r>
              <w:t>max. Ausfall (MTPD)</w:t>
            </w:r>
          </w:p>
        </w:tc>
        <w:tc>
          <w:tcPr>
            <w:tcW w:type="dxa" w:w="2160"/>
          </w:tcPr>
          <w:p>
            <w:r>
              <w:t>RTO IT</w:t>
            </w:r>
          </w:p>
        </w:tc>
      </w:tr>
      <w:tr>
        <w:tc>
          <w:tcPr>
            <w:tcW w:type="dxa" w:w="2160"/>
          </w:tcPr>
          <w:p>
            <w:r>
              <w:t>Produktion REG/RPL/RCZ/RHU (Linie 24/7)</w:t>
            </w:r>
          </w:p>
        </w:tc>
        <w:tc>
          <w:tcPr>
            <w:tcW w:type="dxa" w:w="2160"/>
          </w:tcPr>
          <w:p>
            <w:r>
              <w:t>sehr hoch</w:t>
            </w:r>
          </w:p>
        </w:tc>
        <w:tc>
          <w:tcPr>
            <w:tcW w:type="dxa" w:w="2160"/>
          </w:tcPr>
          <w:p>
            <w:r>
              <w:t>8 h</w:t>
            </w:r>
          </w:p>
        </w:tc>
        <w:tc>
          <w:tcPr>
            <w:tcW w:type="dxa" w:w="2160"/>
          </w:tcPr>
          <w:p>
            <w:r>
              <w:t>4 h</w:t>
            </w:r>
          </w:p>
        </w:tc>
      </w:tr>
      <w:tr>
        <w:tc>
          <w:tcPr>
            <w:tcW w:type="dxa" w:w="2160"/>
          </w:tcPr>
          <w:p>
            <w:r>
              <w:t>OEM-Lieferungen / EDI (JIS/JIT VW, BMW)</w:t>
            </w:r>
          </w:p>
        </w:tc>
        <w:tc>
          <w:tcPr>
            <w:tcW w:type="dxa" w:w="2160"/>
          </w:tcPr>
          <w:p>
            <w:r>
              <w:t>sehr hoch</w:t>
            </w:r>
          </w:p>
        </w:tc>
        <w:tc>
          <w:tcPr>
            <w:tcW w:type="dxa" w:w="2160"/>
          </w:tcPr>
          <w:p>
            <w:r>
              <w:t>8 h</w:t>
            </w:r>
          </w:p>
        </w:tc>
        <w:tc>
          <w:tcPr>
            <w:tcW w:type="dxa" w:w="2160"/>
          </w:tcPr>
          <w:p>
            <w:r>
              <w:t>4 h</w:t>
            </w:r>
          </w:p>
        </w:tc>
      </w:tr>
      <w:tr>
        <w:tc>
          <w:tcPr>
            <w:tcW w:type="dxa" w:w="2160"/>
          </w:tcPr>
          <w:p>
            <w:r>
              <w:t>Finanzbuchhaltung / Treasury / Zahlungen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24 h</w:t>
            </w:r>
          </w:p>
        </w:tc>
        <w:tc>
          <w:tcPr>
            <w:tcW w:type="dxa" w:w="2160"/>
          </w:tcPr>
          <w:p>
            <w:r>
              <w:t>8 h</w:t>
            </w:r>
          </w:p>
        </w:tc>
      </w:tr>
      <w:tr>
        <w:tc>
          <w:tcPr>
            <w:tcW w:type="dxa" w:w="2160"/>
          </w:tcPr>
          <w:p>
            <w:r>
              <w:t>Engineering / ADAS-Entwicklung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5 Tage</w:t>
            </w:r>
          </w:p>
        </w:tc>
        <w:tc>
          <w:tcPr>
            <w:tcW w:type="dxa" w:w="2160"/>
          </w:tcPr>
          <w:p>
            <w:r>
              <w:t>24 h</w:t>
            </w:r>
          </w:p>
        </w:tc>
      </w:tr>
      <w:tr>
        <w:tc>
          <w:tcPr>
            <w:tcW w:type="dxa" w:w="2160"/>
          </w:tcPr>
          <w:p>
            <w:r>
              <w:t>HR-Gehaltslauf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5 Tage (Stichtag)</w:t>
            </w:r>
          </w:p>
        </w:tc>
        <w:tc>
          <w:tcPr>
            <w:tcW w:type="dxa" w:w="2160"/>
          </w:tcPr>
          <w:p>
            <w:r>
              <w:t>24 h</w:t>
            </w:r>
          </w:p>
        </w:tc>
      </w:tr>
    </w:tbl>
    <w:p>
      <w:pPr>
        <w:pStyle w:val="Heading3"/>
      </w:pPr>
      <w:r>
        <w:t>3. Szenarien und Reaktion</w:t>
      </w:r>
    </w:p>
    <w:p>
      <w:r>
        <w:t>Definierte Szenarien: (S1) Ausfall RZ Stuttgart Hauptstandort; (S2) Cyberattacke mit Verschluesselung mehrerer Systeme; (S3) Ausfall Cloud-Provider (Microsoft Azure Germany West Central); (S4) Ausfall Werk-IT durch Brand/Wasserschaden; (S5) Personalausfall Key-Personen IT (Pandemie). Je Szenario sind Aktivierungskriterien, Krisenstab-Zusammensetzung und Reaktionsschritte in einem Runbook hinterlegt (Confluence Space 'BCM').</w:t>
      </w:r>
    </w:p>
    <w:p>
      <w:pPr>
        <w:pStyle w:val="Heading3"/>
      </w:pPr>
      <w:r>
        <w:t>4. Krisenstab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Rolle</w:t>
            </w:r>
          </w:p>
        </w:tc>
        <w:tc>
          <w:tcPr>
            <w:tcW w:type="dxa" w:w="2880"/>
          </w:tcPr>
          <w:p>
            <w:r>
              <w:t>Person</w:t>
            </w:r>
          </w:p>
        </w:tc>
        <w:tc>
          <w:tcPr>
            <w:tcW w:type="dxa" w:w="2880"/>
          </w:tcPr>
          <w:p>
            <w:r>
              <w:t>Stellvertretung</w:t>
            </w:r>
          </w:p>
        </w:tc>
      </w:tr>
      <w:tr>
        <w:tc>
          <w:tcPr>
            <w:tcW w:type="dxa" w:w="2880"/>
          </w:tcPr>
          <w:p>
            <w:r>
              <w:t>Krisenstab-Leitung</w:t>
            </w:r>
          </w:p>
        </w:tc>
        <w:tc>
          <w:tcPr>
            <w:tcW w:type="dxa" w:w="2880"/>
          </w:tcPr>
          <w:p>
            <w:r>
              <w:t>Dr. Thomas Weber, COO</w:t>
            </w:r>
          </w:p>
        </w:tc>
        <w:tc>
          <w:tcPr>
            <w:tcW w:type="dxa" w:w="2880"/>
          </w:tcPr>
          <w:p>
            <w:r>
              <w:t>Laura Bauer, CFO</w:t>
            </w:r>
          </w:p>
        </w:tc>
      </w:tr>
      <w:tr>
        <w:tc>
          <w:tcPr>
            <w:tcW w:type="dxa" w:w="2880"/>
          </w:tcPr>
          <w:p>
            <w:r>
              <w:t>IT-Krisenleitung</w:t>
            </w:r>
          </w:p>
        </w:tc>
        <w:tc>
          <w:tcPr>
            <w:tcW w:type="dxa" w:w="2880"/>
          </w:tcPr>
          <w:p>
            <w:r>
              <w:t>Christian Roeder, Head of Group IT Operations</w:t>
            </w:r>
          </w:p>
        </w:tc>
        <w:tc>
          <w:tcPr>
            <w:tcW w:type="dxa" w:w="2880"/>
          </w:tcPr>
          <w:p>
            <w:r>
              <w:t>Andreas Behrens, Lead IT-Architekt Konzern</w:t>
            </w:r>
          </w:p>
        </w:tc>
      </w:tr>
      <w:tr>
        <w:tc>
          <w:tcPr>
            <w:tcW w:type="dxa" w:w="2880"/>
          </w:tcPr>
          <w:p>
            <w:r>
              <w:t>Cyber-Krisenleitung</w:t>
            </w:r>
          </w:p>
        </w:tc>
        <w:tc>
          <w:tcPr>
            <w:tcW w:type="dxa" w:w="2880"/>
          </w:tcPr>
          <w:p>
            <w:r>
              <w:t>Frank Eisermann, Head of IT Security (CISO)</w:t>
            </w:r>
          </w:p>
        </w:tc>
        <w:tc>
          <w:tcPr>
            <w:tcW w:type="dxa" w:w="2880"/>
          </w:tcPr>
          <w:p>
            <w:r>
              <w:t>Frank Sopra-Steria Account-Manager</w:t>
            </w:r>
          </w:p>
        </w:tc>
      </w:tr>
      <w:tr>
        <w:tc>
          <w:tcPr>
            <w:tcW w:type="dxa" w:w="2880"/>
          </w:tcPr>
          <w:p>
            <w:r>
              <w:t>Kommunikation (intern/extern)</w:t>
            </w:r>
          </w:p>
        </w:tc>
        <w:tc>
          <w:tcPr>
            <w:tcW w:type="dxa" w:w="2880"/>
          </w:tcPr>
          <w:p>
            <w:r>
              <w:t>Stefan Richter (CMO/BD)</w:t>
            </w:r>
          </w:p>
        </w:tc>
        <w:tc>
          <w:tcPr>
            <w:tcW w:type="dxa" w:w="2880"/>
          </w:tcPr>
          <w:p>
            <w:r>
              <w:t>IR-Team Frau Klein</w:t>
            </w:r>
          </w:p>
        </w:tc>
      </w:tr>
      <w:tr>
        <w:tc>
          <w:tcPr>
            <w:tcW w:type="dxa" w:w="2880"/>
          </w:tcPr>
          <w:p>
            <w:r>
              <w:t>Recht und Compliance</w:t>
            </w:r>
          </w:p>
        </w:tc>
        <w:tc>
          <w:tcPr>
            <w:tcW w:type="dxa" w:w="2880"/>
          </w:tcPr>
          <w:p>
            <w:r>
              <w:t>Dr. Maria Hellmig</w:t>
            </w:r>
          </w:p>
        </w:tc>
        <w:tc>
          <w:tcPr>
            <w:tcW w:type="dxa" w:w="2880"/>
          </w:tcPr>
          <w:p>
            <w:r>
              <w:t>Konzernrevision (Buehler)</w:t>
            </w:r>
          </w:p>
        </w:tc>
      </w:tr>
      <w:tr>
        <w:tc>
          <w:tcPr>
            <w:tcW w:type="dxa" w:w="2880"/>
          </w:tcPr>
          <w:p>
            <w:r>
              <w:t>HR / People</w:t>
            </w:r>
          </w:p>
        </w:tc>
        <w:tc>
          <w:tcPr>
            <w:tcW w:type="dxa" w:w="2880"/>
          </w:tcPr>
          <w:p>
            <w:r>
              <w:t>Sandra Vollmer</w:t>
            </w:r>
          </w:p>
        </w:tc>
        <w:tc>
          <w:tcPr>
            <w:tcW w:type="dxa" w:w="2880"/>
          </w:tcPr>
          <w:p>
            <w:r>
              <w:t>Heinz Maier</w:t>
            </w:r>
          </w:p>
        </w:tc>
      </w:tr>
    </w:tbl>
    <w:p>
      <w:pPr>
        <w:pStyle w:val="Heading3"/>
      </w:pPr>
      <w:r>
        <w:t>5. Tests und Uebungen</w:t>
      </w:r>
    </w:p>
    <w:p>
      <w:r>
        <w:t>Tabletop-Uebung jaehrlich (zuletzt 12.10.2022 Szenario S2 Ransomware unter Moderation der Allianz fuer Cyber-Sicherheit). Full Disaster-Recovery-Test halbjaehrlich (siehe REA_Disaster_Recovery_Test_2023). Naechstes Tabletop 21.11.2023 (Szenario S3 Cloud-Ausfall).</w:t>
      </w:r>
    </w:p>
    <w:p>
      <w:pPr>
        <w:pStyle w:val="Heading3"/>
      </w:pPr>
      <w:r>
        <w:t>6. Freigabe</w:t>
      </w:r>
    </w:p>
    <w:p>
      <w:r>
        <w:t>Ort, Datum: Stuttgart, den 22.02.2023</w:t>
      </w:r>
    </w:p>
    <w:p>
      <w:r>
        <w:t>_________________________            _________________________</w:t>
        <w:br/>
        <w:t>Dr. Thomas Weber                          Christian Roeder</w:t>
        <w:br/>
        <w:t>COO                          Head of Group IT Operations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