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Konzern-Backup- und Restore-Konzept</w:t>
      </w:r>
    </w:p>
    <w:p>
      <w:pPr>
        <w:jc w:val="center"/>
      </w:pPr>
      <w:r>
        <w:t>REA-IT-BCK-2022 / IT-Operations</w:t>
      </w:r>
    </w:p>
    <w:p/>
    <w:p>
      <w:pPr>
        <w:pStyle w:val="Heading3"/>
      </w:pPr>
      <w:r>
        <w:t>Dokumentenkontrolle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Konzern-Backup- und Restore-Konzept</w:t>
            </w:r>
          </w:p>
        </w:tc>
      </w:tr>
      <w:tr>
        <w:tc>
          <w:tcPr>
            <w:tcW w:type="dxa" w:w="4320"/>
          </w:tcPr>
          <w:p>
            <w:r>
              <w:t>Kuerzel</w:t>
            </w:r>
          </w:p>
        </w:tc>
        <w:tc>
          <w:tcPr>
            <w:tcW w:type="dxa" w:w="4320"/>
          </w:tcPr>
          <w:p>
            <w:r>
              <w:t>REA-IT-BCK-2022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Inkrafttreten</w:t>
            </w:r>
          </w:p>
        </w:tc>
        <w:tc>
          <w:tcPr>
            <w:tcW w:type="dxa" w:w="4320"/>
          </w:tcPr>
          <w:p>
            <w:r>
              <w:t>01.01.2022 (Update 03/2023)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Christian Roeder, Head of Group IT Operations</w:t>
            </w:r>
          </w:p>
        </w:tc>
      </w:tr>
      <w:tr>
        <w:tc>
          <w:tcPr>
            <w:tcW w:type="dxa" w:w="4320"/>
          </w:tcPr>
          <w:p>
            <w:r>
              <w:t>Pruefung</w:t>
            </w:r>
          </w:p>
        </w:tc>
        <w:tc>
          <w:tcPr>
            <w:tcW w:type="dxa" w:w="4320"/>
          </w:tcPr>
          <w:p>
            <w:r>
              <w:t>Frank Eisermann, Head of IT Security (CISO), Konzernrevision (Buehler)</w:t>
            </w:r>
          </w:p>
        </w:tc>
      </w:tr>
    </w:tbl>
    <w:p>
      <w:pPr>
        <w:pStyle w:val="Heading3"/>
      </w:pPr>
      <w:r>
        <w:t>1. Grundsatz und Geltungsbereich</w:t>
      </w:r>
    </w:p>
    <w:p>
      <w:r>
        <w:t>Dieses Konzept regelt Backup- und Restore-Prozesse aller geschaeftskritischen IT-Systeme der Brennhagen Elektronik AG und Tochtergesellschaften. Grundlage sind BSI IT-Grundschutz CON.3 (Datensicherung), ISO 27001:2022 A.8.13 und IATF 16949 Anhang B (Notfallplanung Produktion).</w:t>
      </w:r>
    </w:p>
    <w:p>
      <w:pPr>
        <w:pStyle w:val="Heading3"/>
      </w:pPr>
      <w:r>
        <w:t>2. Backup-Strategie 3-2-1-1-0</w:t>
      </w:r>
    </w:p>
    <w:p>
      <w:r>
        <w:t>Es gilt der konzernweite Standard 3-2-1-1-0: 3 Kopien jeder produktionskritischen Daten, auf 2 verschiedenen Medien, davon 1 offsite, 1 unveraenderlich/air-gapped, 0 fehlerhafte Restore-Tests.</w:t>
      </w:r>
    </w:p>
    <w:p>
      <w:pPr>
        <w:pStyle w:val="Heading3"/>
      </w:pPr>
      <w:r>
        <w:t>3. RPO/RTO je Anwendungsklasse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Anwendungs-Klasse</w:t>
            </w:r>
          </w:p>
        </w:tc>
        <w:tc>
          <w:tcPr>
            <w:tcW w:type="dxa" w:w="2160"/>
          </w:tcPr>
          <w:p>
            <w:r>
              <w:t>Beispiele</w:t>
            </w:r>
          </w:p>
        </w:tc>
        <w:tc>
          <w:tcPr>
            <w:tcW w:type="dxa" w:w="2160"/>
          </w:tcPr>
          <w:p>
            <w:r>
              <w:t>RPO</w:t>
            </w:r>
          </w:p>
        </w:tc>
        <w:tc>
          <w:tcPr>
            <w:tcW w:type="dxa" w:w="2160"/>
          </w:tcPr>
          <w:p>
            <w:r>
              <w:t>RTO</w:t>
            </w:r>
          </w:p>
        </w:tc>
      </w:tr>
      <w:tr>
        <w:tc>
          <w:tcPr>
            <w:tcW w:type="dxa" w:w="2160"/>
          </w:tcPr>
          <w:p>
            <w:r>
              <w:t>Klasse A (Tier 0)</w:t>
            </w:r>
          </w:p>
        </w:tc>
        <w:tc>
          <w:tcPr>
            <w:tcW w:type="dxa" w:w="2160"/>
          </w:tcPr>
          <w:p>
            <w:r>
              <w:t>SAP S/4HANA P01, MES (REG, RPL), Active Directory</w:t>
            </w:r>
          </w:p>
        </w:tc>
        <w:tc>
          <w:tcPr>
            <w:tcW w:type="dxa" w:w="2160"/>
          </w:tcPr>
          <w:p>
            <w:r>
              <w:t>&lt;= 15 min</w:t>
            </w:r>
          </w:p>
        </w:tc>
        <w:tc>
          <w:tcPr>
            <w:tcW w:type="dxa" w:w="2160"/>
          </w:tcPr>
          <w:p>
            <w:r>
              <w:t>&lt;= 4 h</w:t>
            </w:r>
          </w:p>
        </w:tc>
      </w:tr>
      <w:tr>
        <w:tc>
          <w:tcPr>
            <w:tcW w:type="dxa" w:w="2160"/>
          </w:tcPr>
          <w:p>
            <w:r>
              <w:t>Klasse B (Tier 1)</w:t>
            </w:r>
          </w:p>
        </w:tc>
        <w:tc>
          <w:tcPr>
            <w:tcW w:type="dxa" w:w="2160"/>
          </w:tcPr>
          <w:p>
            <w:r>
              <w:t>Teamcenter PLM, Salesforce-Replikate</w:t>
            </w:r>
          </w:p>
        </w:tc>
        <w:tc>
          <w:tcPr>
            <w:tcW w:type="dxa" w:w="2160"/>
          </w:tcPr>
          <w:p>
            <w:r>
              <w:t>&lt;= 1 h</w:t>
            </w:r>
          </w:p>
        </w:tc>
        <w:tc>
          <w:tcPr>
            <w:tcW w:type="dxa" w:w="2160"/>
          </w:tcPr>
          <w:p>
            <w:r>
              <w:t>&lt;= 8 h</w:t>
            </w:r>
          </w:p>
        </w:tc>
      </w:tr>
      <w:tr>
        <w:tc>
          <w:tcPr>
            <w:tcW w:type="dxa" w:w="2160"/>
          </w:tcPr>
          <w:p>
            <w:r>
              <w:t>Klasse C (Tier 2)</w:t>
            </w:r>
          </w:p>
        </w:tc>
        <w:tc>
          <w:tcPr>
            <w:tcW w:type="dxa" w:w="2160"/>
          </w:tcPr>
          <w:p>
            <w:r>
              <w:t>Fileservices, SharePoint Online (kopiert)</w:t>
            </w:r>
          </w:p>
        </w:tc>
        <w:tc>
          <w:tcPr>
            <w:tcW w:type="dxa" w:w="2160"/>
          </w:tcPr>
          <w:p>
            <w:r>
              <w:t>&lt;= 4 h</w:t>
            </w:r>
          </w:p>
        </w:tc>
        <w:tc>
          <w:tcPr>
            <w:tcW w:type="dxa" w:w="2160"/>
          </w:tcPr>
          <w:p>
            <w:r>
              <w:t>&lt;= 24 h</w:t>
            </w:r>
          </w:p>
        </w:tc>
      </w:tr>
      <w:tr>
        <w:tc>
          <w:tcPr>
            <w:tcW w:type="dxa" w:w="2160"/>
          </w:tcPr>
          <w:p>
            <w:r>
              <w:t>Klasse D (Tier 3)</w:t>
            </w:r>
          </w:p>
        </w:tc>
        <w:tc>
          <w:tcPr>
            <w:tcW w:type="dxa" w:w="2160"/>
          </w:tcPr>
          <w:p>
            <w:r>
              <w:t>Test-Systeme, Sandbox</w:t>
            </w:r>
          </w:p>
        </w:tc>
        <w:tc>
          <w:tcPr>
            <w:tcW w:type="dxa" w:w="2160"/>
          </w:tcPr>
          <w:p>
            <w:r>
              <w:t>&lt;= 24 h</w:t>
            </w:r>
          </w:p>
        </w:tc>
        <w:tc>
          <w:tcPr>
            <w:tcW w:type="dxa" w:w="2160"/>
          </w:tcPr>
          <w:p>
            <w:r>
              <w:t>&lt;= 72 h</w:t>
            </w:r>
          </w:p>
        </w:tc>
      </w:tr>
    </w:tbl>
    <w:p>
      <w:pPr>
        <w:pStyle w:val="Heading3"/>
      </w:pPr>
      <w:r>
        <w:t>4. Technologie-Stack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Schicht</w:t>
            </w:r>
          </w:p>
        </w:tc>
        <w:tc>
          <w:tcPr>
            <w:tcW w:type="dxa" w:w="2880"/>
          </w:tcPr>
          <w:p>
            <w:r>
              <w:t>Loesung</w:t>
            </w:r>
          </w:p>
        </w:tc>
        <w:tc>
          <w:tcPr>
            <w:tcW w:type="dxa" w:w="2880"/>
          </w:tcPr>
          <w:p>
            <w:r>
              <w:t>Anbieter</w:t>
            </w:r>
          </w:p>
        </w:tc>
      </w:tr>
      <w:tr>
        <w:tc>
          <w:tcPr>
            <w:tcW w:type="dxa" w:w="2880"/>
          </w:tcPr>
          <w:p>
            <w:r>
              <w:t>VM / OS Backup</w:t>
            </w:r>
          </w:p>
        </w:tc>
        <w:tc>
          <w:tcPr>
            <w:tcW w:type="dxa" w:w="2880"/>
          </w:tcPr>
          <w:p>
            <w:r>
              <w:t>Veeam Backup &amp; Replication 12</w:t>
            </w:r>
          </w:p>
        </w:tc>
        <w:tc>
          <w:tcPr>
            <w:tcW w:type="dxa" w:w="2880"/>
          </w:tcPr>
          <w:p>
            <w:r>
              <w:t>Veeam Software</w:t>
            </w:r>
          </w:p>
        </w:tc>
      </w:tr>
      <w:tr>
        <w:tc>
          <w:tcPr>
            <w:tcW w:type="dxa" w:w="2880"/>
          </w:tcPr>
          <w:p>
            <w:r>
              <w:t>SAP HANA Backup</w:t>
            </w:r>
          </w:p>
        </w:tc>
        <w:tc>
          <w:tcPr>
            <w:tcW w:type="dxa" w:w="2880"/>
          </w:tcPr>
          <w:p>
            <w:r>
              <w:t>SAP Native Backup, integriert in Backint zu Veeam</w:t>
            </w:r>
          </w:p>
        </w:tc>
        <w:tc>
          <w:tcPr>
            <w:tcW w:type="dxa" w:w="2880"/>
          </w:tcPr>
          <w:p>
            <w:r>
              <w:t>SAP / Veeam</w:t>
            </w:r>
          </w:p>
        </w:tc>
      </w:tr>
      <w:tr>
        <w:tc>
          <w:tcPr>
            <w:tcW w:type="dxa" w:w="2880"/>
          </w:tcPr>
          <w:p>
            <w:r>
              <w:t>File / SharePoint</w:t>
            </w:r>
          </w:p>
        </w:tc>
        <w:tc>
          <w:tcPr>
            <w:tcW w:type="dxa" w:w="2880"/>
          </w:tcPr>
          <w:p>
            <w:r>
              <w:t>Veeam Backup for Microsoft 365 v7</w:t>
            </w:r>
          </w:p>
        </w:tc>
        <w:tc>
          <w:tcPr>
            <w:tcW w:type="dxa" w:w="2880"/>
          </w:tcPr>
          <w:p>
            <w:r>
              <w:t>Veeam</w:t>
            </w:r>
          </w:p>
        </w:tc>
      </w:tr>
      <w:tr>
        <w:tc>
          <w:tcPr>
            <w:tcW w:type="dxa" w:w="2880"/>
          </w:tcPr>
          <w:p>
            <w:r>
              <w:t>Datenbank-Logs</w:t>
            </w:r>
          </w:p>
        </w:tc>
        <w:tc>
          <w:tcPr>
            <w:tcW w:type="dxa" w:w="2880"/>
          </w:tcPr>
          <w:p>
            <w:r>
              <w:t>DB-Native, archiviert auf S3-kompatiblen Storage</w:t>
            </w:r>
          </w:p>
        </w:tc>
        <w:tc>
          <w:tcPr>
            <w:tcW w:type="dxa" w:w="2880"/>
          </w:tcPr>
          <w:p>
            <w:r>
              <w:t>verschiedene</w:t>
            </w:r>
          </w:p>
        </w:tc>
      </w:tr>
      <w:tr>
        <w:tc>
          <w:tcPr>
            <w:tcW w:type="dxa" w:w="2880"/>
          </w:tcPr>
          <w:p>
            <w:r>
              <w:t>Offsite-Storage</w:t>
            </w:r>
          </w:p>
        </w:tc>
        <w:tc>
          <w:tcPr>
            <w:tcW w:type="dxa" w:w="2880"/>
          </w:tcPr>
          <w:p>
            <w:r>
              <w:t>Wasabi Hot Storage Frankfurt + Amsterdam</w:t>
            </w:r>
          </w:p>
        </w:tc>
        <w:tc>
          <w:tcPr>
            <w:tcW w:type="dxa" w:w="2880"/>
          </w:tcPr>
          <w:p>
            <w:r>
              <w:t>Wasabi Technologies</w:t>
            </w:r>
          </w:p>
        </w:tc>
      </w:tr>
      <w:tr>
        <w:tc>
          <w:tcPr>
            <w:tcW w:type="dxa" w:w="2880"/>
          </w:tcPr>
          <w:p>
            <w:r>
              <w:t>Air-Gap / Tape</w:t>
            </w:r>
          </w:p>
        </w:tc>
        <w:tc>
          <w:tcPr>
            <w:tcW w:type="dxa" w:w="2880"/>
          </w:tcPr>
          <w:p>
            <w:r>
              <w:t>LTO-9 Quarterly im Tresor Stuttgart (extern bei Iron Mountain)</w:t>
            </w:r>
          </w:p>
        </w:tc>
        <w:tc>
          <w:tcPr>
            <w:tcW w:type="dxa" w:w="2880"/>
          </w:tcPr>
          <w:p>
            <w:r>
              <w:t>Iron Mountain</w:t>
            </w:r>
          </w:p>
        </w:tc>
      </w:tr>
    </w:tbl>
    <w:p>
      <w:pPr>
        <w:pStyle w:val="Heading3"/>
      </w:pPr>
      <w:r>
        <w:t>5. Pruefungs- und Restore-Tests</w:t>
      </w:r>
    </w:p>
    <w:p>
      <w:r>
        <w:t>Restore-Tests werden monatlich (Tier 0/1) bzw. quartalsweise (Tier 2/3) durchgefuehrt. Dokumentation ueber ServiceNow CHG-Template 'Restore-Test'. KPMG Internal Audit pruefte zuletzt am 14.11.2022 und stellte ein offenes Findings (»Tape-Rotation Heilbronn Werk verspaetet«); geschlossen 28.02.2023. Naechster Disaster-Recovery-Test geplant November 2023.</w:t>
      </w:r>
    </w:p>
    <w:p>
      <w:pPr>
        <w:pStyle w:val="Heading3"/>
      </w:pPr>
      <w:r>
        <w:t>6. Freigabe</w:t>
      </w:r>
    </w:p>
    <w:p>
      <w:r>
        <w:t>Ort, Datum: Stuttgart, den 14.01.2022</w:t>
      </w:r>
    </w:p>
    <w:p>
      <w:r>
        <w:t>_________________________            _________________________</w:t>
        <w:br/>
        <w:t>Christian Roeder                          Frank Eisermann</w:t>
        <w:br/>
        <w:t>Head of Group IT Operations                          CISO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