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Konzern-Cloud-Strategie und Sicherheitsarchitektur 2023</w:t>
      </w:r>
    </w:p>
    <w:p>
      <w:pPr>
        <w:jc w:val="center"/>
      </w:pPr>
      <w:r>
        <w:t>REA-CLOUD-STRAT-2023 / IT-Steering Committee Genehmigung</w:t>
      </w:r>
    </w:p>
    <w:p/>
    <w:p>
      <w:pPr>
        <w:pStyle w:val="Heading3"/>
      </w:pPr>
      <w:r>
        <w:t>Dokumentenkontrolle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Konzern-Cloud-Strategie und Sicherheitsarchitektur</w:t>
            </w:r>
          </w:p>
        </w:tc>
      </w:tr>
      <w:tr>
        <w:tc>
          <w:tcPr>
            <w:tcW w:type="dxa" w:w="4320"/>
          </w:tcPr>
          <w:p>
            <w:r>
              <w:t>Kuerzel</w:t>
            </w:r>
          </w:p>
        </w:tc>
        <w:tc>
          <w:tcPr>
            <w:tcW w:type="dxa" w:w="4320"/>
          </w:tcPr>
          <w:p>
            <w:r>
              <w:t>REA-CLOUD-STRAT-2023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Dr. Karin Lehnhardt, CIO (extern beauftragt, BTC AG)</w:t>
            </w:r>
          </w:p>
        </w:tc>
      </w:tr>
      <w:tr>
        <w:tc>
          <w:tcPr>
            <w:tcW w:type="dxa" w:w="4320"/>
          </w:tcPr>
          <w:p>
            <w:r>
              <w:t>Co-Author</w:t>
            </w:r>
          </w:p>
        </w:tc>
        <w:tc>
          <w:tcPr>
            <w:tcW w:type="dxa" w:w="4320"/>
          </w:tcPr>
          <w:p>
            <w:r>
              <w:t>Andreas Behrens, Lead IT-Architekt Konzern, Frank Eisermann, Head of IT Security (CISO)</w:t>
            </w:r>
          </w:p>
        </w:tc>
      </w:tr>
      <w:tr>
        <w:tc>
          <w:tcPr>
            <w:tcW w:type="dxa" w:w="4320"/>
          </w:tcPr>
          <w:p>
            <w:r>
              <w:t>Freigegeben (Vorstand)</w:t>
            </w:r>
          </w:p>
        </w:tc>
        <w:tc>
          <w:tcPr>
            <w:tcW w:type="dxa" w:w="4320"/>
          </w:tcPr>
          <w:p>
            <w:r>
              <w:t>Dr. Thomas Weber, COO, Laura Bauer, CFO</w:t>
            </w:r>
          </w:p>
        </w:tc>
      </w:tr>
      <w:tr>
        <w:tc>
          <w:tcPr>
            <w:tcW w:type="dxa" w:w="4320"/>
          </w:tcPr>
          <w:p>
            <w:r>
              <w:t>Verteiler</w:t>
            </w:r>
          </w:p>
        </w:tc>
        <w:tc>
          <w:tcPr>
            <w:tcW w:type="dxa" w:w="4320"/>
          </w:tcPr>
          <w:p>
            <w:r>
              <w:t>IT-Steering Committee, Aufsichtsrat (Pruefungsausschuss) zur Kenntnis</w:t>
            </w:r>
          </w:p>
        </w:tc>
      </w:tr>
      <w:tr>
        <w:tc>
          <w:tcPr>
            <w:tcW w:type="dxa" w:w="4320"/>
          </w:tcPr>
          <w:p>
            <w:r>
              <w:t>Inkrafttreten</w:t>
            </w:r>
          </w:p>
        </w:tc>
        <w:tc>
          <w:tcPr>
            <w:tcW w:type="dxa" w:w="4320"/>
          </w:tcPr>
          <w:p>
            <w:r>
              <w:t>01.05.2023</w:t>
            </w:r>
          </w:p>
        </w:tc>
      </w:tr>
    </w:tbl>
    <w:p>
      <w:pPr>
        <w:pStyle w:val="Heading3"/>
      </w:pPr>
      <w:r>
        <w:t>1. Cloud-Strategie - Leitlinien</w:t>
      </w:r>
    </w:p>
    <w:p>
      <w:r>
        <w:t>Die Brennhagen Elektronik AG verfolgt seit 2022 eine »Cloud-Smart«-Strategie. Die Konzern-Cloud-Strategie 2023 baut auf den im Aufsichtsrats-Beschluss vom 18.11.2022 (TOP 6) verankerten Leitlinien auf:</w:t>
      </w:r>
    </w:p>
    <w:p>
      <w:r>
        <w:t>(a) Microsoft Azure ist Primary Cloud Provider fuer Workloads des Konzerns (SAP, Datenplattform, IAM, Productivity).</w:t>
        <w:br/>
        <w:t>(b) AWS ist Secondary Cloud Provider fuer Machine-Learning- und Data-Engineering-Workloads der RSG Muenchen (ADAS / Embedded SW).</w:t>
        <w:br/>
        <w:t>(c) Salesforce, SAP SuccessFactors, ServiceNow und KnowBe4 sind SaaS-Best-of-Breed.</w:t>
        <w:br/>
        <w:t>(d) Kein Multi-Cloud-Active-Active fuer SAP-Kerne (Kostendisziplin).</w:t>
        <w:br/>
        <w:t>(e) Kein Public-Cloud fuer OT/MES-Steuerung auf Linienebene (Latenz, Souveraenitaet).</w:t>
      </w:r>
    </w:p>
    <w:p>
      <w:pPr>
        <w:pStyle w:val="Heading3"/>
      </w:pPr>
      <w:r>
        <w:t>2. Microsoft Azure - Tenant-Architektur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Auspraegung</w:t>
            </w:r>
          </w:p>
        </w:tc>
      </w:tr>
      <w:tr>
        <w:tc>
          <w:tcPr>
            <w:tcW w:type="dxa" w:w="4320"/>
          </w:tcPr>
          <w:p>
            <w:r>
              <w:t>Tenant</w:t>
            </w:r>
          </w:p>
        </w:tc>
        <w:tc>
          <w:tcPr>
            <w:tcW w:type="dxa" w:w="4320"/>
          </w:tcPr>
          <w:p>
            <w:r>
              <w:t>brennhagen-elektronik.onmicrosoft.com</w:t>
            </w:r>
          </w:p>
        </w:tc>
      </w:tr>
      <w:tr>
        <w:tc>
          <w:tcPr>
            <w:tcW w:type="dxa" w:w="4320"/>
          </w:tcPr>
          <w:p>
            <w:r>
              <w:t>Subscriptions</w:t>
            </w:r>
          </w:p>
        </w:tc>
        <w:tc>
          <w:tcPr>
            <w:tcW w:type="dxa" w:w="4320"/>
          </w:tcPr>
          <w:p>
            <w:r>
              <w:t>8 (Prod, NonProd je Domaene: SAP, Data, Workplace, Network)</w:t>
            </w:r>
          </w:p>
        </w:tc>
      </w:tr>
      <w:tr>
        <w:tc>
          <w:tcPr>
            <w:tcW w:type="dxa" w:w="4320"/>
          </w:tcPr>
          <w:p>
            <w:r>
              <w:t>Management Groups</w:t>
            </w:r>
          </w:p>
        </w:tc>
        <w:tc>
          <w:tcPr>
            <w:tcW w:type="dxa" w:w="4320"/>
          </w:tcPr>
          <w:p>
            <w:r>
              <w:t>Hierarchie Konzern -&gt; Domaene -&gt; Umgebung</w:t>
            </w:r>
          </w:p>
        </w:tc>
      </w:tr>
      <w:tr>
        <w:tc>
          <w:tcPr>
            <w:tcW w:type="dxa" w:w="4320"/>
          </w:tcPr>
          <w:p>
            <w:r>
              <w:t>Regionen</w:t>
            </w:r>
          </w:p>
        </w:tc>
        <w:tc>
          <w:tcPr>
            <w:tcW w:type="dxa" w:w="4320"/>
          </w:tcPr>
          <w:p>
            <w:r>
              <w:t>Germany West Central (Frankfurt), West Europe (Amsterdam) als DR</w:t>
            </w:r>
          </w:p>
        </w:tc>
      </w:tr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t>Entra ID (Azure AD), Hybrid (AAD Connect zu On-Prem AD)</w:t>
            </w:r>
          </w:p>
        </w:tc>
      </w:tr>
      <w:tr>
        <w:tc>
          <w:tcPr>
            <w:tcW w:type="dxa" w:w="4320"/>
          </w:tcPr>
          <w:p>
            <w:r>
              <w:t>Konnektivitaet</w:t>
            </w:r>
          </w:p>
        </w:tc>
        <w:tc>
          <w:tcPr>
            <w:tcW w:type="dxa" w:w="4320"/>
          </w:tcPr>
          <w:p>
            <w:r>
              <w:t>ExpressRoute (2x10 Gbit/s, Equinix Frankfurt FR4)</w:t>
            </w:r>
          </w:p>
        </w:tc>
      </w:tr>
      <w:tr>
        <w:tc>
          <w:tcPr>
            <w:tcW w:type="dxa" w:w="4320"/>
          </w:tcPr>
          <w:p>
            <w:r>
              <w:t>Workloads</w:t>
            </w:r>
          </w:p>
        </w:tc>
        <w:tc>
          <w:tcPr>
            <w:tcW w:type="dxa" w:w="4320"/>
          </w:tcPr>
          <w:p>
            <w:r>
              <w:t>SAP S/4HANA Private Cloud (M192ms_v2), Azure Synapse (Data), AVD Pilot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Azure Policy 'Konzern-Baseline' (50+ Policies), Defender for Cloud</w:t>
            </w:r>
          </w:p>
        </w:tc>
      </w:tr>
    </w:tbl>
    <w:p>
      <w:pPr>
        <w:pStyle w:val="Heading3"/>
      </w:pPr>
      <w:r>
        <w:t>3. AWS - Sekundaer-Account-Struktur (RSG)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Auspraegung</w:t>
            </w:r>
          </w:p>
        </w:tc>
      </w:tr>
      <w:tr>
        <w:tc>
          <w:tcPr>
            <w:tcW w:type="dxa" w:w="4320"/>
          </w:tcPr>
          <w:p>
            <w:r>
              <w:t>Organisation</w:t>
            </w:r>
          </w:p>
        </w:tc>
        <w:tc>
          <w:tcPr>
            <w:tcW w:type="dxa" w:w="4320"/>
          </w:tcPr>
          <w:p>
            <w:r>
              <w:t>AWS Organization 'brennhagen-rsg' (Master: 612845192753)</w:t>
            </w:r>
          </w:p>
        </w:tc>
      </w:tr>
      <w:tr>
        <w:tc>
          <w:tcPr>
            <w:tcW w:type="dxa" w:w="4320"/>
          </w:tcPr>
          <w:p>
            <w:r>
              <w:t>Accounts</w:t>
            </w:r>
          </w:p>
        </w:tc>
        <w:tc>
          <w:tcPr>
            <w:tcW w:type="dxa" w:w="4320"/>
          </w:tcPr>
          <w:p>
            <w:r>
              <w:t>5: shared-services, ml-prod, ml-dev, data-prod, sandbox</w:t>
            </w:r>
          </w:p>
        </w:tc>
      </w:tr>
      <w:tr>
        <w:tc>
          <w:tcPr>
            <w:tcW w:type="dxa" w:w="4320"/>
          </w:tcPr>
          <w:p>
            <w:r>
              <w:t>Regionen</w:t>
            </w:r>
          </w:p>
        </w:tc>
        <w:tc>
          <w:tcPr>
            <w:tcW w:type="dxa" w:w="4320"/>
          </w:tcPr>
          <w:p>
            <w:r>
              <w:t>eu-central-1 (Frankfurt) primaer, eu-west-1 (Irland) DR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SageMaker, S3, EKS (ADAS-Trainings-Pipelines), Bedrock (Pilot)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SCPs (Service Control Policies), CIS-Benchmark, GuardDuty, Macie</w:t>
            </w:r>
          </w:p>
        </w:tc>
      </w:tr>
    </w:tbl>
    <w:p>
      <w:pPr>
        <w:pStyle w:val="Heading3"/>
      </w:pPr>
      <w:r>
        <w:t>4. Daten-Klassifikation und Cloud-Eignung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Klassifikation</w:t>
            </w:r>
          </w:p>
        </w:tc>
        <w:tc>
          <w:tcPr>
            <w:tcW w:type="dxa" w:w="2880"/>
          </w:tcPr>
          <w:p>
            <w:r>
              <w:t>Beispiel</w:t>
            </w:r>
          </w:p>
        </w:tc>
        <w:tc>
          <w:tcPr>
            <w:tcW w:type="dxa" w:w="2880"/>
          </w:tcPr>
          <w:p>
            <w:r>
              <w:t>Public Cloud zulaessig?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Pressemitteilung, IR-Materialien</w:t>
            </w:r>
          </w:p>
        </w:tc>
        <w:tc>
          <w:tcPr>
            <w:tcW w:type="dxa" w:w="2880"/>
          </w:tcPr>
          <w:p>
            <w:r>
              <w:t>ja</w:t>
            </w:r>
          </w:p>
        </w:tc>
      </w:tr>
      <w:tr>
        <w:tc>
          <w:tcPr>
            <w:tcW w:type="dxa" w:w="2880"/>
          </w:tcPr>
          <w:p>
            <w:r>
              <w:t>Intern</w:t>
            </w:r>
          </w:p>
        </w:tc>
        <w:tc>
          <w:tcPr>
            <w:tcW w:type="dxa" w:w="2880"/>
          </w:tcPr>
          <w:p>
            <w:r>
              <w:t>interne Memos, Org-Charts</w:t>
            </w:r>
          </w:p>
        </w:tc>
        <w:tc>
          <w:tcPr>
            <w:tcW w:type="dxa" w:w="2880"/>
          </w:tcPr>
          <w:p>
            <w:r>
              <w:t>ja</w:t>
            </w:r>
          </w:p>
        </w:tc>
      </w:tr>
      <w:tr>
        <w:tc>
          <w:tcPr>
            <w:tcW w:type="dxa" w:w="2880"/>
          </w:tcPr>
          <w:p>
            <w:r>
              <w:t>Vertraulich</w:t>
            </w:r>
          </w:p>
        </w:tc>
        <w:tc>
          <w:tcPr>
            <w:tcW w:type="dxa" w:w="2880"/>
          </w:tcPr>
          <w:p>
            <w:r>
              <w:t>Vertraege, Personal, Konstruktionen</w:t>
            </w:r>
          </w:p>
        </w:tc>
        <w:tc>
          <w:tcPr>
            <w:tcW w:type="dxa" w:w="2880"/>
          </w:tcPr>
          <w:p>
            <w:r>
              <w:t>ja, mit CMK + DLP</w:t>
            </w:r>
          </w:p>
        </w:tc>
      </w:tr>
      <w:tr>
        <w:tc>
          <w:tcPr>
            <w:tcW w:type="dxa" w:w="2880"/>
          </w:tcPr>
          <w:p>
            <w:r>
              <w:t>Streng vertraulich</w:t>
            </w:r>
          </w:p>
        </w:tc>
        <w:tc>
          <w:tcPr>
            <w:tcW w:type="dxa" w:w="2880"/>
          </w:tcPr>
          <w:p>
            <w:r>
              <w:t>M&amp;A, Vorstand, Kronjuwelen (ADAS-Algorithmen)</w:t>
            </w:r>
          </w:p>
        </w:tc>
        <w:tc>
          <w:tcPr>
            <w:tcW w:type="dxa" w:w="2880"/>
          </w:tcPr>
          <w:p>
            <w:r>
              <w:t>nur Azure DE + Customer-Lockbox</w:t>
            </w:r>
          </w:p>
        </w:tc>
      </w:tr>
    </w:tbl>
    <w:p>
      <w:pPr>
        <w:pStyle w:val="Heading3"/>
      </w:pPr>
      <w:r>
        <w:t>5. Sicherheitsarchitektur</w:t>
      </w:r>
    </w:p>
    <w:p>
      <w:r>
        <w:t>Die Cloud-Sicherheitsarchitektur folgt dem Zero-Trust-Modell mit den drei Saeulen: (a) Identity-First (Entra ID Conditional Access mit FIDO2-Pflicht fuer privilegierte Rollen; Privileged Identity Management mit Just-in-Time-Aktivierung); (b) Netzwerk-Segmentation (Hub-and-Spoke ueber Azure Virtual WAN, AWS Transit Gateway, Site-to-Site IPsec zu den Werken); (c) Data-Protection (Microsoft Purview, AWS Macie, customer-managed keys in Azure Key Vault HSM-backed). Threat-Detection: Microsoft Sentinel (Primary SIEM) mit ca. 240 Korrelationsregeln; AWS GuardDuty und CloudTrail nach Sentinel weitergeleitet ueber Azure Monitor Connector.</w:t>
      </w:r>
    </w:p>
    <w:p>
      <w:pPr>
        <w:pStyle w:val="Heading3"/>
      </w:pPr>
      <w:r>
        <w:t>6. Lieferanten- und Vertragsmanagement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Partner</w:t>
            </w:r>
          </w:p>
        </w:tc>
        <w:tc>
          <w:tcPr>
            <w:tcW w:type="dxa" w:w="2880"/>
          </w:tcPr>
          <w:p>
            <w:r>
              <w:t>Vertrag</w:t>
            </w:r>
          </w:p>
        </w:tc>
        <w:tc>
          <w:tcPr>
            <w:tcW w:type="dxa" w:w="2880"/>
          </w:tcPr>
          <w:p>
            <w:r>
              <w:t>Volumen p.a.</w:t>
            </w:r>
          </w:p>
        </w:tc>
      </w:tr>
      <w:tr>
        <w:tc>
          <w:tcPr>
            <w:tcW w:type="dxa" w:w="2880"/>
          </w:tcPr>
          <w:p>
            <w:r>
              <w:t>Microsoft (EA)</w:t>
            </w:r>
          </w:p>
        </w:tc>
        <w:tc>
          <w:tcPr>
            <w:tcW w:type="dxa" w:w="2880"/>
          </w:tcPr>
          <w:p>
            <w:r>
              <w:t>Enterprise Agreement 'Brennhagen-EA-2022', Laufzeit 1.4.2022-31.3.2025</w:t>
            </w:r>
          </w:p>
        </w:tc>
        <w:tc>
          <w:tcPr>
            <w:tcW w:type="dxa" w:w="2880"/>
          </w:tcPr>
          <w:p>
            <w:r>
              <w:t>ca. 3,8 Mio. EUR</w:t>
            </w:r>
          </w:p>
        </w:tc>
      </w:tr>
      <w:tr>
        <w:tc>
          <w:tcPr>
            <w:tcW w:type="dxa" w:w="2880"/>
          </w:tcPr>
          <w:p>
            <w:r>
              <w:t>Amazon Web Services</w:t>
            </w:r>
          </w:p>
        </w:tc>
        <w:tc>
          <w:tcPr>
            <w:tcW w:type="dxa" w:w="2880"/>
          </w:tcPr>
          <w:p>
            <w:r>
              <w:t>Enterprise Discount Program 'EDP-Brennhagen-RSG-2023'</w:t>
            </w:r>
          </w:p>
        </w:tc>
        <w:tc>
          <w:tcPr>
            <w:tcW w:type="dxa" w:w="2880"/>
          </w:tcPr>
          <w:p>
            <w:r>
              <w:t>ca. 0,9 Mio. EUR</w:t>
            </w:r>
          </w:p>
        </w:tc>
      </w:tr>
      <w:tr>
        <w:tc>
          <w:tcPr>
            <w:tcW w:type="dxa" w:w="2880"/>
          </w:tcPr>
          <w:p>
            <w:r>
              <w:t>BTC AG (Sourcing-Partner)</w:t>
            </w:r>
          </w:p>
        </w:tc>
        <w:tc>
          <w:tcPr>
            <w:tcW w:type="dxa" w:w="2880"/>
          </w:tcPr>
          <w:p>
            <w:r>
              <w:t>MSP-Vertrag CIO-Sourcing, vereinbart 14.06.2022</w:t>
            </w:r>
          </w:p>
        </w:tc>
        <w:tc>
          <w:tcPr>
            <w:tcW w:type="dxa" w:w="2880"/>
          </w:tcPr>
          <w:p>
            <w:r>
              <w:t>ca. 1,2 Mio. EUR</w:t>
            </w:r>
          </w:p>
        </w:tc>
      </w:tr>
      <w:tr>
        <w:tc>
          <w:tcPr>
            <w:tcW w:type="dxa" w:w="2880"/>
          </w:tcPr>
          <w:p>
            <w:r>
              <w:t>Accenture</w:t>
            </w:r>
          </w:p>
        </w:tc>
        <w:tc>
          <w:tcPr>
            <w:tcW w:type="dxa" w:w="2880"/>
          </w:tcPr>
          <w:p>
            <w:r>
              <w:t>S/4HANA-Implementierungspartner (Lead, ab 2022)</w:t>
            </w:r>
          </w:p>
        </w:tc>
        <w:tc>
          <w:tcPr>
            <w:tcW w:type="dxa" w:w="2880"/>
          </w:tcPr>
          <w:p>
            <w:r>
              <w:t>ca. 4,5 Mio. EUR (Multi-Year)</w:t>
            </w:r>
          </w:p>
        </w:tc>
      </w:tr>
      <w:tr>
        <w:tc>
          <w:tcPr>
            <w:tcW w:type="dxa" w:w="2880"/>
          </w:tcPr>
          <w:p>
            <w:r>
              <w:t>Sopra Steria</w:t>
            </w:r>
          </w:p>
        </w:tc>
        <w:tc>
          <w:tcPr>
            <w:tcW w:type="dxa" w:w="2880"/>
          </w:tcPr>
          <w:p>
            <w:r>
              <w:t>SOC-Managed-Service 24/7</w:t>
            </w:r>
          </w:p>
        </w:tc>
        <w:tc>
          <w:tcPr>
            <w:tcW w:type="dxa" w:w="2880"/>
          </w:tcPr>
          <w:p>
            <w:r>
              <w:t>ca. 0,7 Mio. EUR</w:t>
            </w:r>
          </w:p>
        </w:tc>
      </w:tr>
    </w:tbl>
    <w:p>
      <w:pPr>
        <w:pStyle w:val="Heading3"/>
      </w:pPr>
      <w:r>
        <w:t>7. Roadmap und Investitionen</w:t>
      </w:r>
    </w:p>
    <w:p>
      <w:r>
        <w:t>Phase 1 (2022): Tenant-Aufbau Microsoft Azure, Entra ID Hybrid, M365 E5 Konzernweit (abgeschlossen). Phase 2 (2023): S/4HANA-Migration auf Azure (Pilot Mandant 200, Go-Live Heilbronn FI/CO Q3/2023). Phase 3 (2024): SAP S/4HANA Produktiv-Migration Polen (RPL), Tschechien (RCZ), Ungarn (RHU). Phase 4 (2025): Datenplattform Azure Synapse / Microsoft Fabric, AWS SageMaker fuer ADAS-Training. Phase 5 (2026): Konsolidierung, ggf. zweite Azure-Region als Hot-DR.</w:t>
      </w:r>
    </w:p>
    <w:p>
      <w:pPr>
        <w:pStyle w:val="Heading3"/>
      </w:pPr>
      <w:r>
        <w:t>8. Freigabe</w:t>
      </w:r>
    </w:p>
    <w:p>
      <w:r>
        <w:t>Ort, Datum: Stuttgart, den 26.04.2023</w:t>
      </w:r>
    </w:p>
    <w:p>
      <w:r>
        <w:t>_________________________            _________________________</w:t>
        <w:br/>
        <w:t>Dr. Thomas Weber                          Laura Bauer</w:t>
        <w:br/>
        <w:t>COO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