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Cybersecurity-Policy und ISMS (ISO 27001:2022)</w:t>
      </w:r>
    </w:p>
    <w:p>
      <w:pPr>
        <w:jc w:val="center"/>
      </w:pPr>
      <w:r>
        <w:t>Konzernrichtlinie REA-ISMS-CYB-2023 / ISMS ISO 27001:2022</w:t>
      </w:r>
    </w:p>
    <w:p/>
    <w:p>
      <w:pPr>
        <w:pStyle w:val="Heading3"/>
      </w:pPr>
      <w:r>
        <w:t>Dokumentenkontrolle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Dokumenttitel</w:t>
            </w:r>
          </w:p>
        </w:tc>
        <w:tc>
          <w:tcPr>
            <w:tcW w:type="dxa" w:w="4320"/>
          </w:tcPr>
          <w:p>
            <w:r>
              <w:t>Cybersecurity-Policy und ISMS (ISO 27001:2022)</w:t>
            </w:r>
          </w:p>
        </w:tc>
      </w:tr>
      <w:tr>
        <w:tc>
          <w:tcPr>
            <w:tcW w:type="dxa" w:w="4320"/>
          </w:tcPr>
          <w:p>
            <w:r>
              <w:t>Dokumentenkuerzel</w:t>
            </w:r>
          </w:p>
        </w:tc>
        <w:tc>
          <w:tcPr>
            <w:tcW w:type="dxa" w:w="4320"/>
          </w:tcPr>
          <w:p>
            <w:r>
              <w:t>REA-ISMS-CYB-2023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Intern - Beschraenkter Verteiler</w:t>
            </w:r>
          </w:p>
        </w:tc>
      </w:tr>
      <w:tr>
        <w:tc>
          <w:tcPr>
            <w:tcW w:type="dxa" w:w="4320"/>
          </w:tcPr>
          <w:p>
            <w:r>
              <w:t>Dokumenten-Eigentuemer (Author)</w:t>
            </w:r>
          </w:p>
        </w:tc>
        <w:tc>
          <w:tcPr>
            <w:tcW w:type="dxa" w:w="4320"/>
          </w:tcPr>
          <w:p>
            <w:r>
              <w:t>Frank Eisermann, Head of IT Security (CISO)</w:t>
            </w:r>
          </w:p>
        </w:tc>
      </w:tr>
      <w:tr>
        <w:tc>
          <w:tcPr>
            <w:tcW w:type="dxa" w:w="4320"/>
          </w:tcPr>
          <w:p>
            <w:r>
              <w:t>Dokumenten-Pruefer</w:t>
            </w:r>
          </w:p>
        </w:tc>
        <w:tc>
          <w:tcPr>
            <w:tcW w:type="dxa" w:w="4320"/>
          </w:tcPr>
          <w:p>
            <w:r>
              <w:t>Dr. Karin Lehnhardt, CIO (extern beauftragt, BTC AG), Christian Roeder, Head of Group IT Operations</w:t>
            </w:r>
          </w:p>
        </w:tc>
      </w:tr>
      <w:tr>
        <w:tc>
          <w:tcPr>
            <w:tcW w:type="dxa" w:w="4320"/>
          </w:tcPr>
          <w:p>
            <w:r>
              <w:t>Freigeber (Vorstand)</w:t>
            </w:r>
          </w:p>
        </w:tc>
        <w:tc>
          <w:tcPr>
            <w:tcW w:type="dxa" w:w="4320"/>
          </w:tcPr>
          <w:p>
            <w:r>
              <w:t>Dr. Thomas Weber, COO, Laura Bauer, CFO</w:t>
            </w:r>
          </w:p>
        </w:tc>
      </w:tr>
      <w:tr>
        <w:tc>
          <w:tcPr>
            <w:tcW w:type="dxa" w:w="4320"/>
          </w:tcPr>
          <w:p>
            <w:r>
              <w:t>Inkrafttreten</w:t>
            </w:r>
          </w:p>
        </w:tc>
        <w:tc>
          <w:tcPr>
            <w:tcW w:type="dxa" w:w="4320"/>
          </w:tcPr>
          <w:p>
            <w:r>
              <w:t>01.04.2023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Brennhagen Elektronik AG, alle Konzerngesellschaften (REG, RSG, RPL, RCZ, RHU, RCN, RHO)</w:t>
            </w:r>
          </w:p>
        </w:tc>
      </w:tr>
      <w:tr>
        <w:tc>
          <w:tcPr>
            <w:tcW w:type="dxa" w:w="4320"/>
          </w:tcPr>
          <w:p>
            <w:r>
              <w:t>Verbindlichkeit</w:t>
            </w:r>
          </w:p>
        </w:tc>
        <w:tc>
          <w:tcPr>
            <w:tcW w:type="dxa" w:w="4320"/>
          </w:tcPr>
          <w:p>
            <w:r>
              <w:t>verbindlich fuer alle Mitarbeitenden, Externe und Drittparteien mit Zugriff</w:t>
            </w:r>
          </w:p>
        </w:tc>
      </w:tr>
    </w:tbl>
    <w:p>
      <w:pPr>
        <w:pStyle w:val="Heading3"/>
      </w:pPr>
      <w:r>
        <w:t>1. Zweck und Geltungsbereich</w:t>
      </w:r>
    </w:p>
    <w:p>
      <w:r>
        <w:t>Diese Konzernrichtlinie regelt das Thema »Cybersecurity-Policy und ISMS (ISO 27001:2022)« fuer die Brennhagen Elektronik AG und alle Tochtergesellschaften. Sie ist Bestandteil des Informationssicherheits-Managementsystems (ISMS) der Brennhagen Elektronik AG, das auf Basis ISO/IEC 27001:2022 sowie der Bausteine des BSI IT-Grundschutzes betrieben wird. Ein erstes externes ISO-27001-Audit ist gemeinsam mit TUEV NORD CERT GmbH (Lead Auditor: Dr. Henrik Pfaffenstoll) fuer Q4/2024 vorgesehen. Die Richtlinie integriert TISAX-Anforderungen der Automobilindustrie (VDA-ISA, gepruefte Stufe AL3 bei REG/RSG).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Verantwortung</w:t>
            </w:r>
          </w:p>
        </w:tc>
      </w:tr>
      <w:tr>
        <w:tc>
          <w:tcPr>
            <w:tcW w:type="dxa" w:w="4320"/>
          </w:tcPr>
          <w:p>
            <w:r>
              <w:t>Vorstand (COO, CFO)</w:t>
            </w:r>
          </w:p>
        </w:tc>
        <w:tc>
          <w:tcPr>
            <w:tcW w:type="dxa" w:w="4320"/>
          </w:tcPr>
          <w:p>
            <w:r>
              <w:t>Gesamtverantwortung; Genehmigung Risikoakzeptanz, Budgetfreigabe</w:t>
            </w:r>
          </w:p>
        </w:tc>
      </w:tr>
      <w:tr>
        <w:tc>
          <w:tcPr>
            <w:tcW w:type="dxa" w:w="4320"/>
          </w:tcPr>
          <w:p>
            <w:r>
              <w:t>CIO (Dr. Lehnhardt, BTC AG)</w:t>
            </w:r>
          </w:p>
        </w:tc>
        <w:tc>
          <w:tcPr>
            <w:tcW w:type="dxa" w:w="4320"/>
          </w:tcPr>
          <w:p>
            <w:r>
              <w:t>Sourcing-/Architektur-Verantwortung, Lieferanten-Mgmt</w:t>
            </w:r>
          </w:p>
        </w:tc>
      </w:tr>
      <w:tr>
        <w:tc>
          <w:tcPr>
            <w:tcW w:type="dxa" w:w="4320"/>
          </w:tcPr>
          <w:p>
            <w:r>
              <w:t>CISO (Frank Eisermann)</w:t>
            </w:r>
          </w:p>
        </w:tc>
        <w:tc>
          <w:tcPr>
            <w:tcW w:type="dxa" w:w="4320"/>
          </w:tcPr>
          <w:p>
            <w:r>
              <w:t>Fachverantwortung ISMS, Policy-Management, Audit-Vorbereitung</w:t>
            </w:r>
          </w:p>
        </w:tc>
      </w:tr>
      <w:tr>
        <w:tc>
          <w:tcPr>
            <w:tcW w:type="dxa" w:w="4320"/>
          </w:tcPr>
          <w:p>
            <w:r>
              <w:t>Head of Group IT Operations (Roeder)</w:t>
            </w:r>
          </w:p>
        </w:tc>
        <w:tc>
          <w:tcPr>
            <w:tcW w:type="dxa" w:w="4320"/>
          </w:tcPr>
          <w:p>
            <w:r>
              <w:t>Operative Umsetzung im Tagesgeschaeft</w:t>
            </w:r>
          </w:p>
        </w:tc>
      </w:tr>
      <w:tr>
        <w:tc>
          <w:tcPr>
            <w:tcW w:type="dxa" w:w="4320"/>
          </w:tcPr>
          <w:p>
            <w:r>
              <w:t>Lead Architekt (Behrens)</w:t>
            </w:r>
          </w:p>
        </w:tc>
        <w:tc>
          <w:tcPr>
            <w:tcW w:type="dxa" w:w="4320"/>
          </w:tcPr>
          <w:p>
            <w:r>
              <w:t>Architektur-Reviews, Security-by-Design</w:t>
            </w:r>
          </w:p>
        </w:tc>
      </w:tr>
      <w:tr>
        <w:tc>
          <w:tcPr>
            <w:tcW w:type="dxa" w:w="4320"/>
          </w:tcPr>
          <w:p>
            <w:r>
              <w:t>SAP CoE (Dr. Lichter)</w:t>
            </w:r>
          </w:p>
        </w:tc>
        <w:tc>
          <w:tcPr>
            <w:tcW w:type="dxa" w:w="4320"/>
          </w:tcPr>
          <w:p>
            <w:r>
              <w:t>ERP-spezifische Sicherheitsmassnahmen (SoD, GRC)</w:t>
            </w:r>
          </w:p>
        </w:tc>
      </w:tr>
      <w:tr>
        <w:tc>
          <w:tcPr>
            <w:tcW w:type="dxa" w:w="4320"/>
          </w:tcPr>
          <w:p>
            <w:r>
              <w:t>DSB (LD&amp;P, Dr. Holz)</w:t>
            </w:r>
          </w:p>
        </w:tc>
        <w:tc>
          <w:tcPr>
            <w:tcW w:type="dxa" w:w="4320"/>
          </w:tcPr>
          <w:p>
            <w:r>
              <w:t>Schnittstelle DSGVO</w:t>
            </w:r>
          </w:p>
        </w:tc>
      </w:tr>
      <w:tr>
        <w:tc>
          <w:tcPr>
            <w:tcW w:type="dxa" w:w="4320"/>
          </w:tcPr>
          <w:p>
            <w:r>
              <w:t>Werkleitungen / Subsidiary-IT</w:t>
            </w:r>
          </w:p>
        </w:tc>
        <w:tc>
          <w:tcPr>
            <w:tcW w:type="dxa" w:w="4320"/>
          </w:tcPr>
          <w:p>
            <w:r>
              <w:t>Lokale Implementierung, Awareness, Compliance</w:t>
            </w:r>
          </w:p>
        </w:tc>
      </w:tr>
    </w:tbl>
    <w:p>
      <w:pPr>
        <w:pStyle w:val="Heading3"/>
      </w:pPr>
      <w:r>
        <w:t>3. Inhaltliche Vorgaben</w:t>
      </w:r>
    </w:p>
    <w:p>
      <w:pPr>
        <w:pStyle w:val="ListBullet"/>
      </w:pPr>
      <w:r>
        <w:t>Risikomanagement gemaess ISO 27005 und BSI 200-3, jaehrlicher Risiko-Review.</w:t>
      </w:r>
    </w:p>
    <w:p>
      <w:pPr>
        <w:pStyle w:val="ListBullet"/>
      </w:pPr>
      <w:r>
        <w:t>Assets-Inventar in ServiceNow CMDB; Klassifikation Public/Intern/Vertraulich/Streng vertraulich.</w:t>
      </w:r>
    </w:p>
    <w:p>
      <w:pPr>
        <w:pStyle w:val="ListBullet"/>
      </w:pPr>
      <w:r>
        <w:t>Lieferkette: Lieferantenfragebogen fuer kritische IT-Lieferanten; jaehrliche Re-Bewertung.</w:t>
      </w:r>
    </w:p>
    <w:p>
      <w:pPr>
        <w:pStyle w:val="ListBullet"/>
      </w:pPr>
      <w:r>
        <w:t>Kryptographie: TLS 1.3 fuer alle externen Schnittstellen, RSA-2048 mindestens, ECC bevorzugt.</w:t>
      </w:r>
    </w:p>
    <w:p>
      <w:pPr>
        <w:pStyle w:val="ListBullet"/>
      </w:pPr>
      <w:r>
        <w:t>Loggin &amp; Monitoring: zentrale Sammlung in Microsoft Sentinel; Aufbewahrung 24 Monate online.</w:t>
      </w:r>
    </w:p>
    <w:p>
      <w:pPr>
        <w:pStyle w:val="ListBullet"/>
      </w:pPr>
      <w:r>
        <w:t>Incident Management: CSIRT mit definierter Eskalationsmatrix (Severity 1-4), SOC 24/7 ueber Sopra Steria.</w:t>
      </w:r>
    </w:p>
    <w:p>
      <w:pPr>
        <w:pStyle w:val="ListBullet"/>
      </w:pPr>
      <w:r>
        <w:t>Geschaeftspartner / OEM-Anforderungen: TISAX (VDA-ISA) erfuellt fuer REG (AL3) und RSG (AL3).</w:t>
      </w:r>
    </w:p>
    <w:p>
      <w:pPr>
        <w:pStyle w:val="ListBullet"/>
      </w:pPr>
      <w:r>
        <w:t>Awareness: KnowBe4 - Pflicht-Module quartalsweise; Phishing-Simulation monatlich.</w:t>
      </w:r>
    </w:p>
    <w:p>
      <w:pPr>
        <w:pStyle w:val="ListBullet"/>
      </w:pPr>
      <w:r>
        <w:t>Audit-Programm: KPMG Internal Audit jaehrlich; externes ISO 27001-Audit Q4/2024 (TUEV NORD).</w:t>
      </w:r>
    </w:p>
    <w:p>
      <w:pPr>
        <w:pStyle w:val="Heading3"/>
      </w:pPr>
      <w:r>
        <w:t>4. Technische und organisatorische Massnahmen (TOMs)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Kontroll-Domaene</w:t>
            </w:r>
          </w:p>
        </w:tc>
        <w:tc>
          <w:tcPr>
            <w:tcW w:type="dxa" w:w="2880"/>
          </w:tcPr>
          <w:p>
            <w:r>
              <w:t>Kontroll-Massnahme</w:t>
            </w:r>
          </w:p>
        </w:tc>
        <w:tc>
          <w:tcPr>
            <w:tcW w:type="dxa" w:w="2880"/>
          </w:tcPr>
          <w:p>
            <w:r>
              <w:t>Status 2023</w:t>
            </w:r>
          </w:p>
        </w:tc>
      </w:tr>
      <w:tr>
        <w:tc>
          <w:tcPr>
            <w:tcW w:type="dxa" w:w="2880"/>
          </w:tcPr>
          <w:p>
            <w:r>
              <w:t>Zugangskontrolle (A.5/A.8)</w:t>
            </w:r>
          </w:p>
        </w:tc>
        <w:tc>
          <w:tcPr>
            <w:tcW w:type="dxa" w:w="2880"/>
          </w:tcPr>
          <w:p>
            <w:r>
              <w:t>Microsoft Entra ID mit Conditional Access, MFA verpflichtend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Endpoint-Sicherheit (A.8)</w:t>
            </w:r>
          </w:p>
        </w:tc>
        <w:tc>
          <w:tcPr>
            <w:tcW w:type="dxa" w:w="2880"/>
          </w:tcPr>
          <w:p>
            <w:r>
              <w:t>CrowdStrike Falcon Enterprise auf 100 % verwalteten Endpoints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Netzwerk-Segmentation (A.8)</w:t>
            </w:r>
          </w:p>
        </w:tc>
        <w:tc>
          <w:tcPr>
            <w:tcW w:type="dxa" w:w="2880"/>
          </w:tcPr>
          <w:p>
            <w:r>
              <w:t>OT/IT-Trennung in den Werken (Cisco IE-Switche, Firewalls)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Backup (A.8)</w:t>
            </w:r>
          </w:p>
        </w:tc>
        <w:tc>
          <w:tcPr>
            <w:tcW w:type="dxa" w:w="2880"/>
          </w:tcPr>
          <w:p>
            <w:r>
              <w:t>Veeam B&amp;R 12, taeglich, Offsite Wasabi S3, Air-Gap-Tape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E-Mail-Sicherheit (A.8)</w:t>
            </w:r>
          </w:p>
        </w:tc>
        <w:tc>
          <w:tcPr>
            <w:tcW w:type="dxa" w:w="2880"/>
          </w:tcPr>
          <w:p>
            <w:r>
              <w:t>Proofpoint Email Protection, DMARC, SPF, DKIM enforced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SIEM / SOC</w:t>
            </w:r>
          </w:p>
        </w:tc>
        <w:tc>
          <w:tcPr>
            <w:tcW w:type="dxa" w:w="2880"/>
          </w:tcPr>
          <w:p>
            <w:r>
              <w:t>Microsoft Sentinel + 24/7 SOC durch Sopra Steria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Penetrationstests</w:t>
            </w:r>
          </w:p>
        </w:tc>
        <w:tc>
          <w:tcPr>
            <w:tcW w:type="dxa" w:w="2880"/>
          </w:tcPr>
          <w:p>
            <w:r>
              <w:t>SecuVantage GmbH halbjaehrlich (intern + perimeter)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  <w:tr>
        <w:tc>
          <w:tcPr>
            <w:tcW w:type="dxa" w:w="2880"/>
          </w:tcPr>
          <w:p>
            <w:r>
              <w:t>Awareness</w:t>
            </w:r>
          </w:p>
        </w:tc>
        <w:tc>
          <w:tcPr>
            <w:tcW w:type="dxa" w:w="2880"/>
          </w:tcPr>
          <w:p>
            <w:r>
              <w:t>KnowBe4 Plattform, Pflicht-Module quartalsweise</w:t>
            </w:r>
          </w:p>
        </w:tc>
        <w:tc>
          <w:tcPr>
            <w:tcW w:type="dxa" w:w="2880"/>
          </w:tcPr>
          <w:p>
            <w:r>
              <w:t>umgesetzt</w:t>
            </w:r>
          </w:p>
        </w:tc>
      </w:tr>
      <w:tr>
        <w:tc>
          <w:tcPr>
            <w:tcW w:type="dxa" w:w="2880"/>
          </w:tcPr>
          <w:p>
            <w:r>
              <w:t>Lieferantenpruefung</w:t>
            </w:r>
          </w:p>
        </w:tc>
        <w:tc>
          <w:tcPr>
            <w:tcW w:type="dxa" w:w="2880"/>
          </w:tcPr>
          <w:p>
            <w:r>
              <w:t>Sicherheitsfragebogen + TISAX-Pruefung bei Schluessellieferanten</w:t>
            </w:r>
          </w:p>
        </w:tc>
        <w:tc>
          <w:tcPr>
            <w:tcW w:type="dxa" w:w="2880"/>
          </w:tcPr>
          <w:p>
            <w:r>
              <w:t>laufend</w:t>
            </w:r>
          </w:p>
        </w:tc>
      </w:tr>
    </w:tbl>
    <w:p>
      <w:pPr>
        <w:pStyle w:val="Heading3"/>
      </w:pPr>
      <w:r>
        <w:t>5. Audit, Compliance und kontinuierliche Verbesserung</w:t>
      </w:r>
    </w:p>
    <w:p>
      <w:r>
        <w:t>Das ISMS unterliegt internen Audits durch KPMG Internal Audit (jaehrlich) sowie externen Pruefungen (TISAX alle 3 Jahre, ISO 27001 ab 2024 jaehrliches Surveillance-Audit nach Erstzertifizierung). Penetrationstests werden halbjaehrlich durch die SecuVantage GmbH (Tuebingen, Lead Tester Sebastian Strohmeier) durchgefuehrt. Die kontinuierliche Verbesserung erfolgt auf Basis ISMS-Forum (monatlich) und Risiko-Reviews (quartalsweise im IT-Steering Committee unter Vorsitz CIO).</w:t>
      </w:r>
    </w:p>
    <w:p>
      <w:pPr>
        <w:pStyle w:val="Heading3"/>
      </w:pPr>
      <w:r>
        <w:t>6. Sanktionen bei Verstoss</w:t>
      </w:r>
    </w:p>
    <w:p>
      <w:r>
        <w:t>Verstoesse gegen diese Richtlinie koennen arbeitsrechtliche Massnahmen nach sich ziehen (Abmahnung bis Kuendigung) und werden bei Externen ueber Vertragsstrafen sanktioniert. Strafanzeige bei vorsaetzlichen Handlungen mit erheblichem Schadenspotenzial. Verantwortliche Stelle: HR (Vollmer) in Abstimmung mit Konzernrechtsabteilung (Dr. Hellmig).</w:t>
      </w:r>
    </w:p>
    <w:p>
      <w:pPr>
        <w:pStyle w:val="Heading3"/>
      </w:pPr>
      <w:r>
        <w:t>7. Freigaben</w:t>
      </w:r>
    </w:p>
    <w:p>
      <w:r>
        <w:t>Ort, Datum: Stuttgart, den 22.03.2023</w:t>
      </w:r>
    </w:p>
    <w:p>
      <w:r>
        <w:t>_________________________            _________________________</w:t>
        <w:br/>
        <w:t>Dr. Thomas Weber                          Laura Bauer</w:t>
        <w:br/>
        <w:t>COO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