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Konzern-IT-Governance-Framework 2023</w:t>
      </w:r>
    </w:p>
    <w:p>
      <w:pPr>
        <w:jc w:val="center"/>
      </w:pPr>
      <w:r>
        <w:t>REA-ITGOV-2023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</w:t>
            </w:r>
          </w:p>
        </w:tc>
        <w:tc>
          <w:tcPr>
            <w:tcW w:type="dxa" w:w="4320"/>
          </w:tcPr>
          <w:p>
            <w:r>
              <w:t>IT-Governance-Framework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REA-ITGOV-2023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Dr. Karin Lehnhardt, CIO (extern beauftragt, BTC AG)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01.04.2023</w:t>
            </w:r>
          </w:p>
        </w:tc>
      </w:tr>
    </w:tbl>
    <w:p>
      <w:pPr>
        <w:pStyle w:val="Heading3"/>
      </w:pPr>
      <w:r>
        <w:t>1. Zweck und Geltungsbereich</w:t>
      </w:r>
    </w:p>
    <w:p>
      <w:r>
        <w:t>Das IT-Governance-Framework regelt Entscheidungswege, Gremien, Verantwortlichkeiten und Steuerungs-instrumente der Konzern-IT der Brennhagen Elektronik AG. Es orientiert sich an COBIT 2019 (DSS) und IT-Service-Management nach ITIL 4. Verantwortlich ist die CIO Dr. Karin Lehnhardt, die ueber den Sourcing-Partner BTC AG (Stuttgart) eingebunden ist (Vertrag REA/BTC-2022-04, Laufzeit bis 31.12.2025).</w:t>
      </w:r>
    </w:p>
    <w:p>
      <w:pPr>
        <w:pStyle w:val="Heading3"/>
      </w:pPr>
      <w:r>
        <w:t>2. Gremien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Gremium</w:t>
            </w:r>
          </w:p>
        </w:tc>
        <w:tc>
          <w:tcPr>
            <w:tcW w:type="dxa" w:w="2160"/>
          </w:tcPr>
          <w:p>
            <w:r>
              <w:t>Vorsitz</w:t>
            </w:r>
          </w:p>
        </w:tc>
        <w:tc>
          <w:tcPr>
            <w:tcW w:type="dxa" w:w="2160"/>
          </w:tcPr>
          <w:p>
            <w:r>
              <w:t>Frequenz</w:t>
            </w:r>
          </w:p>
        </w:tc>
        <w:tc>
          <w:tcPr>
            <w:tcW w:type="dxa" w:w="2160"/>
          </w:tcPr>
          <w:p>
            <w:r>
              <w:t>Aufgaben</w:t>
            </w:r>
          </w:p>
        </w:tc>
      </w:tr>
      <w:tr>
        <w:tc>
          <w:tcPr>
            <w:tcW w:type="dxa" w:w="2160"/>
          </w:tcPr>
          <w:p>
            <w:r>
              <w:t>IT-Steering Committee</w:t>
            </w:r>
          </w:p>
        </w:tc>
        <w:tc>
          <w:tcPr>
            <w:tcW w:type="dxa" w:w="2160"/>
          </w:tcPr>
          <w:p>
            <w:r>
              <w:t>COO (Dr. Weber)</w:t>
            </w:r>
          </w:p>
        </w:tc>
        <w:tc>
          <w:tcPr>
            <w:tcW w:type="dxa" w:w="2160"/>
          </w:tcPr>
          <w:p>
            <w:r>
              <w:t>monatlich</w:t>
            </w:r>
          </w:p>
        </w:tc>
        <w:tc>
          <w:tcPr>
            <w:tcW w:type="dxa" w:w="2160"/>
          </w:tcPr>
          <w:p>
            <w:r>
              <w:t>Strategische Steuerung IT, Genehmigung Roadmap</w:t>
            </w:r>
          </w:p>
        </w:tc>
      </w:tr>
      <w:tr>
        <w:tc>
          <w:tcPr>
            <w:tcW w:type="dxa" w:w="2160"/>
          </w:tcPr>
          <w:p>
            <w:r>
              <w:t>Change Advisory Board (CAB)</w:t>
            </w:r>
          </w:p>
        </w:tc>
        <w:tc>
          <w:tcPr>
            <w:tcW w:type="dxa" w:w="2160"/>
          </w:tcPr>
          <w:p>
            <w:r>
              <w:t>Head of Group IT Ops (Roeder)</w:t>
            </w:r>
          </w:p>
        </w:tc>
        <w:tc>
          <w:tcPr>
            <w:tcW w:type="dxa" w:w="2160"/>
          </w:tcPr>
          <w:p>
            <w:r>
              <w:t>woechentlich Do 10:00</w:t>
            </w:r>
          </w:p>
        </w:tc>
        <w:tc>
          <w:tcPr>
            <w:tcW w:type="dxa" w:w="2160"/>
          </w:tcPr>
          <w:p>
            <w:r>
              <w:t>Change-Freigaben</w:t>
            </w:r>
          </w:p>
        </w:tc>
      </w:tr>
      <w:tr>
        <w:tc>
          <w:tcPr>
            <w:tcW w:type="dxa" w:w="2160"/>
          </w:tcPr>
          <w:p>
            <w:r>
              <w:t>IT-Security Forum</w:t>
            </w:r>
          </w:p>
        </w:tc>
        <w:tc>
          <w:tcPr>
            <w:tcW w:type="dxa" w:w="2160"/>
          </w:tcPr>
          <w:p>
            <w:r>
              <w:t>CISO (Eisermann)</w:t>
            </w:r>
          </w:p>
        </w:tc>
        <w:tc>
          <w:tcPr>
            <w:tcW w:type="dxa" w:w="2160"/>
          </w:tcPr>
          <w:p>
            <w:r>
              <w:t>monatlich</w:t>
            </w:r>
          </w:p>
        </w:tc>
        <w:tc>
          <w:tcPr>
            <w:tcW w:type="dxa" w:w="2160"/>
          </w:tcPr>
          <w:p>
            <w:r>
              <w:t>Risiken, Schwachstellen, Vorfaelle</w:t>
            </w:r>
          </w:p>
        </w:tc>
      </w:tr>
      <w:tr>
        <w:tc>
          <w:tcPr>
            <w:tcW w:type="dxa" w:w="2160"/>
          </w:tcPr>
          <w:p>
            <w:r>
              <w:t>Architecture Review Board</w:t>
            </w:r>
          </w:p>
        </w:tc>
        <w:tc>
          <w:tcPr>
            <w:tcW w:type="dxa" w:w="2160"/>
          </w:tcPr>
          <w:p>
            <w:r>
              <w:t>Lead Architekt (Behrens)</w:t>
            </w:r>
          </w:p>
        </w:tc>
        <w:tc>
          <w:tcPr>
            <w:tcW w:type="dxa" w:w="2160"/>
          </w:tcPr>
          <w:p>
            <w:r>
              <w:t>alle 2 Wochen</w:t>
            </w:r>
          </w:p>
        </w:tc>
        <w:tc>
          <w:tcPr>
            <w:tcW w:type="dxa" w:w="2160"/>
          </w:tcPr>
          <w:p>
            <w:r>
              <w:t>Architektur-Reviews</w:t>
            </w:r>
          </w:p>
        </w:tc>
      </w:tr>
      <w:tr>
        <w:tc>
          <w:tcPr>
            <w:tcW w:type="dxa" w:w="2160"/>
          </w:tcPr>
          <w:p>
            <w:r>
              <w:t>SAP Change Board</w:t>
            </w:r>
          </w:p>
        </w:tc>
        <w:tc>
          <w:tcPr>
            <w:tcW w:type="dxa" w:w="2160"/>
          </w:tcPr>
          <w:p>
            <w:r>
              <w:t>SAP CoE (Dr. Lichter)</w:t>
            </w:r>
          </w:p>
        </w:tc>
        <w:tc>
          <w:tcPr>
            <w:tcW w:type="dxa" w:w="2160"/>
          </w:tcPr>
          <w:p>
            <w:r>
              <w:t>woechentlich</w:t>
            </w:r>
          </w:p>
        </w:tc>
        <w:tc>
          <w:tcPr>
            <w:tcW w:type="dxa" w:w="2160"/>
          </w:tcPr>
          <w:p>
            <w:r>
              <w:t>SAP-Spezifische Changes/Releases</w:t>
            </w:r>
          </w:p>
        </w:tc>
      </w:tr>
      <w:tr>
        <w:tc>
          <w:tcPr>
            <w:tcW w:type="dxa" w:w="2160"/>
          </w:tcPr>
          <w:p>
            <w:r>
              <w:t>Konzernrevisions-Lenkungskreis IT</w:t>
            </w:r>
          </w:p>
        </w:tc>
        <w:tc>
          <w:tcPr>
            <w:tcW w:type="dxa" w:w="2160"/>
          </w:tcPr>
          <w:p>
            <w:r>
              <w:t>CAE (Buehler) / CIO</w:t>
            </w:r>
          </w:p>
        </w:tc>
        <w:tc>
          <w:tcPr>
            <w:tcW w:type="dxa" w:w="2160"/>
          </w:tcPr>
          <w:p>
            <w:r>
              <w:t>quartalsweise</w:t>
            </w:r>
          </w:p>
        </w:tc>
        <w:tc>
          <w:tcPr>
            <w:tcW w:type="dxa" w:w="2160"/>
          </w:tcPr>
          <w:p>
            <w:r>
              <w:t>Audit-Findings, Massnahmen</w:t>
            </w:r>
          </w:p>
        </w:tc>
      </w:tr>
    </w:tbl>
    <w:p>
      <w:pPr>
        <w:pStyle w:val="Heading3"/>
      </w:pPr>
      <w:r>
        <w:t>3. Verantwortlichkeitsmatrix (Auszug 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Entscheidung</w:t>
            </w:r>
          </w:p>
        </w:tc>
        <w:tc>
          <w:tcPr>
            <w:tcW w:type="dxa" w:w="1234"/>
          </w:tcPr>
          <w:p>
            <w:r>
              <w:t>CIO</w:t>
            </w:r>
          </w:p>
        </w:tc>
        <w:tc>
          <w:tcPr>
            <w:tcW w:type="dxa" w:w="1234"/>
          </w:tcPr>
          <w:p>
            <w:r>
              <w:t>CISO</w:t>
            </w:r>
          </w:p>
        </w:tc>
        <w:tc>
          <w:tcPr>
            <w:tcW w:type="dxa" w:w="1234"/>
          </w:tcPr>
          <w:p>
            <w:r>
              <w:t>COPS</w:t>
            </w:r>
          </w:p>
        </w:tc>
        <w:tc>
          <w:tcPr>
            <w:tcW w:type="dxa" w:w="1234"/>
          </w:tcPr>
          <w:p>
            <w:r>
              <w:t>Architekt</w:t>
            </w:r>
          </w:p>
        </w:tc>
        <w:tc>
          <w:tcPr>
            <w:tcW w:type="dxa" w:w="1234"/>
          </w:tcPr>
          <w:p>
            <w:r>
              <w:t>SAP CoE</w:t>
            </w:r>
          </w:p>
        </w:tc>
        <w:tc>
          <w:tcPr>
            <w:tcW w:type="dxa" w:w="1234"/>
          </w:tcPr>
          <w:p>
            <w:r>
              <w:t>Vorstand</w:t>
            </w:r>
          </w:p>
        </w:tc>
      </w:tr>
      <w:tr>
        <w:tc>
          <w:tcPr>
            <w:tcW w:type="dxa" w:w="1234"/>
          </w:tcPr>
          <w:p>
            <w:r>
              <w:t>IT-Strategie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IT-Budget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Sicherheits-Architektur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Cloud-Roadmap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Major Incident Response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SAP-Releases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>
      <w:pPr>
        <w:pStyle w:val="Heading3"/>
      </w:pPr>
      <w:r>
        <w:t>4. Berichtswesen</w:t>
      </w:r>
    </w:p>
    <w:p>
      <w:r>
        <w:t>Monatlicher IT-Lagebericht an Vorstand (COO); quartalsweiser IT-Sicherheitsbericht an Pruefungsausschuss Aufsichtsrat (Prof. Voss); jaehrlicher IT-Risikobericht an Vorstand; Sofortmeldung an Vorstand bei Major-Incident Severity 1 innerhalb 2 Stunden.</w:t>
      </w:r>
    </w:p>
    <w:p>
      <w:pPr>
        <w:pStyle w:val="Heading3"/>
      </w:pPr>
      <w:r>
        <w:t>5. Kontinuierliche Verbesserung</w:t>
      </w:r>
    </w:p>
    <w:p>
      <w:r>
        <w:t>IT-Governance wird im Jahresrhythmus geprueft und ggf. angepasst. Ergebnisse fliessen in den Konzernlagebericht ein. Externe Pruefung erfolgt durch KPMG WPG im Rahmen des Jahresabschluss-Audits (IT-General-Controls IFRS-Bilanzierung).</w:t>
      </w:r>
    </w:p>
    <w:p>
      <w:pPr>
        <w:pStyle w:val="Heading3"/>
      </w:pPr>
      <w:r>
        <w:t>6. Freigabe</w:t>
      </w:r>
    </w:p>
    <w:p>
      <w:r>
        <w:t>Ort, Datum: Stuttgart, den 22.03.2023</w:t>
      </w:r>
    </w:p>
    <w:p>
      <w:r>
        <w:t>_________________________            _________________________</w:t>
        <w:br/>
        <w:t>Dr. Karin Lehnhardt                          Dr. Thomas Weber</w:t>
        <w:br/>
        <w:t>CIO                          COO</w:t>
        <w:br/>
        <w:t>Brennhagen Elektronik AG / BTC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