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Konzern-IT-Risikobericht 2023</w:t>
      </w:r>
    </w:p>
    <w:p>
      <w:pPr>
        <w:jc w:val="center"/>
      </w:pPr>
      <w:r>
        <w:t>REA-IT-RISK-2023</w:t>
      </w:r>
    </w:p>
    <w:p/>
    <w:p>
      <w:pPr>
        <w:pStyle w:val="Heading3"/>
      </w:pPr>
      <w:r>
        <w:t>Berichtskopf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Berichtstitel</w:t>
            </w:r>
          </w:p>
        </w:tc>
        <w:tc>
          <w:tcPr>
            <w:tcW w:type="dxa" w:w="4320"/>
          </w:tcPr>
          <w:p>
            <w:r>
              <w:t>Konzern-IT-Risikobericht 2023</w:t>
            </w:r>
          </w:p>
        </w:tc>
      </w:tr>
      <w:tr>
        <w:tc>
          <w:tcPr>
            <w:tcW w:type="dxa" w:w="4320"/>
          </w:tcPr>
          <w:p>
            <w:r>
              <w:t>Berichtsperiode</w:t>
            </w:r>
          </w:p>
        </w:tc>
        <w:tc>
          <w:tcPr>
            <w:tcW w:type="dxa" w:w="4320"/>
          </w:tcPr>
          <w:p>
            <w:r>
              <w:t>Geschaeftsjahr 2023</w:t>
            </w:r>
          </w:p>
        </w:tc>
      </w:tr>
      <w:tr>
        <w:tc>
          <w:tcPr>
            <w:tcW w:type="dxa" w:w="4320"/>
          </w:tcPr>
          <w:p>
            <w:r>
              <w:t>Erstellt durch</w:t>
            </w:r>
          </w:p>
        </w:tc>
        <w:tc>
          <w:tcPr>
            <w:tcW w:type="dxa" w:w="4320"/>
          </w:tcPr>
          <w:p>
            <w:r>
              <w:t>Frank Eisermann, Head of IT Security (CISO), Dr. Karin Lehnhardt, CIO (extern beauftragt, BTC AG)</w:t>
            </w:r>
          </w:p>
        </w:tc>
      </w:tr>
      <w:tr>
        <w:tc>
          <w:tcPr>
            <w:tcW w:type="dxa" w:w="4320"/>
          </w:tcPr>
          <w:p>
            <w:r>
              <w:t>Adressat</w:t>
            </w:r>
          </w:p>
        </w:tc>
        <w:tc>
          <w:tcPr>
            <w:tcW w:type="dxa" w:w="4320"/>
          </w:tcPr>
          <w:p>
            <w:r>
              <w:t>Vorstand, Aufsichtsrat-Pruefungsausschuss (Prof. Voss)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 durch Vorstand am 24.10.2023</w:t>
            </w:r>
          </w:p>
        </w:tc>
      </w:tr>
    </w:tbl>
    <w:p>
      <w:pPr>
        <w:pStyle w:val="Heading3"/>
      </w:pPr>
      <w:r>
        <w:t>1. Methodik</w:t>
      </w:r>
    </w:p>
    <w:p>
      <w:r>
        <w:t>Bewertung gemaess BSI 200-3 (Risikoanalyse) und ISO 27005. Risiko-Score = Eintrittswahrscheinlichkeit x Schadenshoehe (5x5-Matrix). Eintrittswahrscheinlichkeit (1-5): sehr unwahrscheinlich - sehr wahrscheinlich. Schadenshoehe (1-5): unerheblich - existenzbedrohend (Schwelle 25 Mio. EUR).</w:t>
      </w:r>
    </w:p>
    <w:p>
      <w:pPr>
        <w:pStyle w:val="Heading3"/>
      </w:pPr>
      <w:r>
        <w:t>2. Top-10 IT-Risiken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Eigentuemer</w:t>
            </w:r>
          </w:p>
        </w:tc>
        <w:tc>
          <w:tcPr>
            <w:tcW w:type="dxa" w:w="1728"/>
          </w:tcPr>
          <w:p>
            <w:r>
              <w:t>Status / Massnahme</w:t>
            </w:r>
          </w:p>
        </w:tc>
      </w:tr>
      <w:tr>
        <w:tc>
          <w:tcPr>
            <w:tcW w:type="dxa" w:w="1728"/>
          </w:tcPr>
          <w:p>
            <w:r>
              <w:t>R-01</w:t>
            </w:r>
          </w:p>
        </w:tc>
        <w:tc>
          <w:tcPr>
            <w:tcW w:type="dxa" w:w="1728"/>
          </w:tcPr>
          <w:p>
            <w:r>
              <w:t>Ransomware-Befall Werks-IT (Produktionsstillstand)</w:t>
            </w:r>
          </w:p>
        </w:tc>
        <w:tc>
          <w:tcPr>
            <w:tcW w:type="dxa" w:w="1728"/>
          </w:tcPr>
          <w:p>
            <w:r>
              <w:t>20 (hoch)</w:t>
            </w:r>
          </w:p>
        </w:tc>
        <w:tc>
          <w:tcPr>
            <w:tcW w:type="dxa" w:w="1728"/>
          </w:tcPr>
          <w:p>
            <w:r>
              <w:t>Frank Eisermann, Head of IT Security (CISO)</w:t>
            </w:r>
          </w:p>
        </w:tc>
        <w:tc>
          <w:tcPr>
            <w:tcW w:type="dxa" w:w="1728"/>
          </w:tcPr>
          <w:p>
            <w:r>
              <w:t>CrowdStrike, Air-Gap-Backup, BCM-Tabletop 11/2023</w:t>
            </w:r>
          </w:p>
        </w:tc>
      </w:tr>
      <w:tr>
        <w:tc>
          <w:tcPr>
            <w:tcW w:type="dxa" w:w="1728"/>
          </w:tcPr>
          <w:p>
            <w:r>
              <w:t>R-02</w:t>
            </w:r>
          </w:p>
        </w:tc>
        <w:tc>
          <w:tcPr>
            <w:tcW w:type="dxa" w:w="1728"/>
          </w:tcPr>
          <w:p>
            <w:r>
              <w:t>Ausfall SAP S/4HANA P01 &gt; RTO 4 h</w:t>
            </w:r>
          </w:p>
        </w:tc>
        <w:tc>
          <w:tcPr>
            <w:tcW w:type="dxa" w:w="1728"/>
          </w:tcPr>
          <w:p>
            <w:r>
              <w:t>16 (hoch)</w:t>
            </w:r>
          </w:p>
        </w:tc>
        <w:tc>
          <w:tcPr>
            <w:tcW w:type="dxa" w:w="1728"/>
          </w:tcPr>
          <w:p>
            <w:r>
              <w:t>Dr. Stefan Lichter, Head of SAP Center of Excellence</w:t>
            </w:r>
          </w:p>
        </w:tc>
        <w:tc>
          <w:tcPr>
            <w:tcW w:type="dxa" w:w="1728"/>
          </w:tcPr>
          <w:p>
            <w:r>
              <w:t>Azure Migration, Geo-Redundanz Phase 5 2026</w:t>
            </w:r>
          </w:p>
        </w:tc>
      </w:tr>
      <w:tr>
        <w:tc>
          <w:tcPr>
            <w:tcW w:type="dxa" w:w="1728"/>
          </w:tcPr>
          <w:p>
            <w:r>
              <w:t>R-03</w:t>
            </w:r>
          </w:p>
        </w:tc>
        <w:tc>
          <w:tcPr>
            <w:tcW w:type="dxa" w:w="1728"/>
          </w:tcPr>
          <w:p>
            <w:r>
              <w:t>Schluesselpersonen-Risiko (CISO, SAP CoE, Architekt)</w:t>
            </w:r>
          </w:p>
        </w:tc>
        <w:tc>
          <w:tcPr>
            <w:tcW w:type="dxa" w:w="1728"/>
          </w:tcPr>
          <w:p>
            <w:r>
              <w:t>12 (mittel)</w:t>
            </w:r>
          </w:p>
        </w:tc>
        <w:tc>
          <w:tcPr>
            <w:tcW w:type="dxa" w:w="1728"/>
          </w:tcPr>
          <w:p>
            <w:r>
              <w:t>HR (Vollmer)</w:t>
            </w:r>
          </w:p>
        </w:tc>
        <w:tc>
          <w:tcPr>
            <w:tcW w:type="dxa" w:w="1728"/>
          </w:tcPr>
          <w:p>
            <w:r>
              <w:t>Nachfolgeplanung, Cross-Training laufend</w:t>
            </w:r>
          </w:p>
        </w:tc>
      </w:tr>
      <w:tr>
        <w:tc>
          <w:tcPr>
            <w:tcW w:type="dxa" w:w="1728"/>
          </w:tcPr>
          <w:p>
            <w:r>
              <w:t>R-04</w:t>
            </w:r>
          </w:p>
        </w:tc>
        <w:tc>
          <w:tcPr>
            <w:tcW w:type="dxa" w:w="1728"/>
          </w:tcPr>
          <w:p>
            <w:r>
              <w:t>OT/IT-Konvergenz - unzureichende Segmentation in Bestandswerken</w:t>
            </w:r>
          </w:p>
        </w:tc>
        <w:tc>
          <w:tcPr>
            <w:tcW w:type="dxa" w:w="1728"/>
          </w:tcPr>
          <w:p>
            <w:r>
              <w:t>12 (mittel)</w:t>
            </w:r>
          </w:p>
        </w:tc>
        <w:tc>
          <w:tcPr>
            <w:tcW w:type="dxa" w:w="1728"/>
          </w:tcPr>
          <w:p>
            <w:r>
              <w:t>Behrens / Werkleitungen</w:t>
            </w:r>
          </w:p>
        </w:tc>
        <w:tc>
          <w:tcPr>
            <w:tcW w:type="dxa" w:w="1728"/>
          </w:tcPr>
          <w:p>
            <w:r>
              <w:t>OT-Audit 2024 geplant</w:t>
            </w:r>
          </w:p>
        </w:tc>
      </w:tr>
      <w:tr>
        <w:tc>
          <w:tcPr>
            <w:tcW w:type="dxa" w:w="1728"/>
          </w:tcPr>
          <w:p>
            <w:r>
              <w:t>R-05</w:t>
            </w:r>
          </w:p>
        </w:tc>
        <w:tc>
          <w:tcPr>
            <w:tcW w:type="dxa" w:w="1728"/>
          </w:tcPr>
          <w:p>
            <w:r>
              <w:t>Cloud-Lieferanten-Konzentration Microsoft (EA)</w:t>
            </w:r>
          </w:p>
        </w:tc>
        <w:tc>
          <w:tcPr>
            <w:tcW w:type="dxa" w:w="1728"/>
          </w:tcPr>
          <w:p>
            <w:r>
              <w:t>10 (mittel)</w:t>
            </w:r>
          </w:p>
        </w:tc>
        <w:tc>
          <w:tcPr>
            <w:tcW w:type="dxa" w:w="1728"/>
          </w:tcPr>
          <w:p>
            <w:r>
              <w:t>Dr. Karin Lehnhardt, CIO (extern beauftragt, BTC AG)</w:t>
            </w:r>
          </w:p>
        </w:tc>
        <w:tc>
          <w:tcPr>
            <w:tcW w:type="dxa" w:w="1728"/>
          </w:tcPr>
          <w:p>
            <w:r>
              <w:t>Sekundaer-Cloud AWS in RSG, Exit-Strategie dokumentiert</w:t>
            </w:r>
          </w:p>
        </w:tc>
      </w:tr>
      <w:tr>
        <w:tc>
          <w:tcPr>
            <w:tcW w:type="dxa" w:w="1728"/>
          </w:tcPr>
          <w:p>
            <w:r>
              <w:t>R-06</w:t>
            </w:r>
          </w:p>
        </w:tc>
        <w:tc>
          <w:tcPr>
            <w:tcW w:type="dxa" w:w="1728"/>
          </w:tcPr>
          <w:p>
            <w:r>
              <w:t>Datenschutz-Vorfall (DSGVO)</w:t>
            </w:r>
          </w:p>
        </w:tc>
        <w:tc>
          <w:tcPr>
            <w:tcW w:type="dxa" w:w="1728"/>
          </w:tcPr>
          <w:p>
            <w:r>
              <w:t>10 (mittel)</w:t>
            </w:r>
          </w:p>
        </w:tc>
        <w:tc>
          <w:tcPr>
            <w:tcW w:type="dxa" w:w="1728"/>
          </w:tcPr>
          <w:p>
            <w:r>
              <w:t>DSB (Holz)</w:t>
            </w:r>
          </w:p>
        </w:tc>
        <w:tc>
          <w:tcPr>
            <w:tcW w:type="dxa" w:w="1728"/>
          </w:tcPr>
          <w:p>
            <w:r>
              <w:t>DLP Purview, Awareness, AVV-Inventar</w:t>
            </w:r>
          </w:p>
        </w:tc>
      </w:tr>
      <w:tr>
        <w:tc>
          <w:tcPr>
            <w:tcW w:type="dxa" w:w="1728"/>
          </w:tcPr>
          <w:p>
            <w:r>
              <w:t>R-07</w:t>
            </w:r>
          </w:p>
        </w:tc>
        <w:tc>
          <w:tcPr>
            <w:tcW w:type="dxa" w:w="1728"/>
          </w:tcPr>
          <w:p>
            <w:r>
              <w:t>Ungesteuerte KI-Tools (Schatten-IT)</w:t>
            </w:r>
          </w:p>
        </w:tc>
        <w:tc>
          <w:tcPr>
            <w:tcW w:type="dxa" w:w="1728"/>
          </w:tcPr>
          <w:p>
            <w:r>
              <w:t>9 (mittel)</w:t>
            </w:r>
          </w:p>
        </w:tc>
        <w:tc>
          <w:tcPr>
            <w:tcW w:type="dxa" w:w="1728"/>
          </w:tcPr>
          <w:p>
            <w:r>
              <w:t>Dr. Karin Lehnhardt, CIO (extern beauftragt, BTC AG)</w:t>
            </w:r>
          </w:p>
        </w:tc>
        <w:tc>
          <w:tcPr>
            <w:tcW w:type="dxa" w:w="1728"/>
          </w:tcPr>
          <w:p>
            <w:r>
              <w:t>KI-Richtlinie 03/2024 in Vorbereitung</w:t>
            </w:r>
          </w:p>
        </w:tc>
      </w:tr>
      <w:tr>
        <w:tc>
          <w:tcPr>
            <w:tcW w:type="dxa" w:w="1728"/>
          </w:tcPr>
          <w:p>
            <w:r>
              <w:t>R-08</w:t>
            </w:r>
          </w:p>
        </w:tc>
        <w:tc>
          <w:tcPr>
            <w:tcW w:type="dxa" w:w="1728"/>
          </w:tcPr>
          <w:p>
            <w:r>
              <w:t>Lieferketten-Cyber-Risiko (Software-Supply-Chain)</w:t>
            </w:r>
          </w:p>
        </w:tc>
        <w:tc>
          <w:tcPr>
            <w:tcW w:type="dxa" w:w="1728"/>
          </w:tcPr>
          <w:p>
            <w:r>
              <w:t>8 (mittel)</w:t>
            </w:r>
          </w:p>
        </w:tc>
        <w:tc>
          <w:tcPr>
            <w:tcW w:type="dxa" w:w="1728"/>
          </w:tcPr>
          <w:p>
            <w:r>
              <w:t>Frank Eisermann, Head of IT Security (CISO)</w:t>
            </w:r>
          </w:p>
        </w:tc>
        <w:tc>
          <w:tcPr>
            <w:tcW w:type="dxa" w:w="1728"/>
          </w:tcPr>
          <w:p>
            <w:r>
              <w:t>SBOM-Pflicht ab 2024, Software-Lieferanten-Audit</w:t>
            </w:r>
          </w:p>
        </w:tc>
      </w:tr>
      <w:tr>
        <w:tc>
          <w:tcPr>
            <w:tcW w:type="dxa" w:w="1728"/>
          </w:tcPr>
          <w:p>
            <w:r>
              <w:t>R-09</w:t>
            </w:r>
          </w:p>
        </w:tc>
        <w:tc>
          <w:tcPr>
            <w:tcW w:type="dxa" w:w="1728"/>
          </w:tcPr>
          <w:p>
            <w:r>
              <w:t>Verlust technischer SAP-ABAP-Kompetenz</w:t>
            </w:r>
          </w:p>
        </w:tc>
        <w:tc>
          <w:tcPr>
            <w:tcW w:type="dxa" w:w="1728"/>
          </w:tcPr>
          <w:p>
            <w:r>
              <w:t>8 (mittel)</w:t>
            </w:r>
          </w:p>
        </w:tc>
        <w:tc>
          <w:tcPr>
            <w:tcW w:type="dxa" w:w="1728"/>
          </w:tcPr>
          <w:p>
            <w:r>
              <w:t>Dr. Stefan Lichter, Head of SAP Center of Excellence</w:t>
            </w:r>
          </w:p>
        </w:tc>
        <w:tc>
          <w:tcPr>
            <w:tcW w:type="dxa" w:w="1728"/>
          </w:tcPr>
          <w:p>
            <w:r>
              <w:t>Accenture-Partnerschaft, Junior-Programm</w:t>
            </w:r>
          </w:p>
        </w:tc>
      </w:tr>
      <w:tr>
        <w:tc>
          <w:tcPr>
            <w:tcW w:type="dxa" w:w="1728"/>
          </w:tcPr>
          <w:p>
            <w:r>
              <w:t>R-10</w:t>
            </w:r>
          </w:p>
        </w:tc>
        <w:tc>
          <w:tcPr>
            <w:tcW w:type="dxa" w:w="1728"/>
          </w:tcPr>
          <w:p>
            <w:r>
              <w:t>Quantum-Computing-Bedrohung (langfristig)</w:t>
            </w:r>
          </w:p>
        </w:tc>
        <w:tc>
          <w:tcPr>
            <w:tcW w:type="dxa" w:w="1728"/>
          </w:tcPr>
          <w:p>
            <w:r>
              <w:t>6 (gering)</w:t>
            </w:r>
          </w:p>
        </w:tc>
        <w:tc>
          <w:tcPr>
            <w:tcW w:type="dxa" w:w="1728"/>
          </w:tcPr>
          <w:p>
            <w:r>
              <w:t>Frank Eisermann, Head of IT Security (CISO)</w:t>
            </w:r>
          </w:p>
        </w:tc>
        <w:tc>
          <w:tcPr>
            <w:tcW w:type="dxa" w:w="1728"/>
          </w:tcPr>
          <w:p>
            <w:r>
              <w:t>PQC-Roadmap ab 2025 (Beobachtung)</w:t>
            </w:r>
          </w:p>
        </w:tc>
      </w:tr>
    </w:tbl>
    <w:p>
      <w:pPr>
        <w:pStyle w:val="Heading3"/>
      </w:pPr>
      <w:r>
        <w:t>3. Veraenderungen ggue. Vorjahr</w:t>
      </w:r>
    </w:p>
    <w:p>
      <w:r>
        <w:t>R-01 (Ransomware) bleibt Risiko Nr. 1; Score unveraendert hoch trotz verbesserter Massnahmen, da Bedrohungslage steigt (Lockbit 3.0, Royal). R-07 (KI-Tools) neu im Register. R-05 (Cloud-Konzentration) weiterhin im Beobachtungsmodus, da Microsoft EA bis 2025 laeuft.</w:t>
      </w:r>
    </w:p>
    <w:p>
      <w:pPr>
        <w:pStyle w:val="Heading3"/>
      </w:pPr>
      <w:r>
        <w:t>4. Schaeden und Vorfaelle 2023 (Auszug)</w:t>
      </w:r>
    </w:p>
    <w:p>
      <w:r>
        <w:t>13 erfasste Sicherheitsvorfaelle, davon 3 Severity High; kumulierter direkter Schaden ca. 56.000 EUR; kein wesentlicher Reputationsverlust; keine OEM-Meldepflicht ausgeloest.</w:t>
      </w:r>
    </w:p>
    <w:p>
      <w:pPr>
        <w:pStyle w:val="Heading3"/>
      </w:pPr>
      <w:r>
        <w:t>5. Massnahmenplan</w:t>
      </w:r>
    </w:p>
    <w:p>
      <w:r>
        <w:t>Investitionsbedarf 2024-2026 fuer IT-Sicherheit: 2,4 Mio. EUR (Capex) + 1,8 Mio. EUR p.a. (Opex). Schwerpunkte: Zero-Trust-Erweiterung, SAP-GRC-Erweiterung, OT-Security-Programm, Cyber-Insurance-Erhoehung.</w:t>
      </w:r>
    </w:p>
    <w:p>
      <w:pPr>
        <w:pStyle w:val="Heading3"/>
      </w:pPr>
      <w:r>
        <w:t>6. Freigabe</w:t>
      </w:r>
    </w:p>
    <w:p>
      <w:r>
        <w:t>Ort, Datum: Stuttgart, den 24.10.2023</w:t>
      </w:r>
    </w:p>
    <w:p>
      <w:r>
        <w:t>_________________________            _________________________</w:t>
        <w:br/>
        <w:t>Frank Eisermann                          Dr. Thomas Weber</w:t>
        <w:br/>
        <w:t>CISO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