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Penetrationstest-Bericht 2023 (H1) - SecuVantage GmbH</w:t>
      </w:r>
    </w:p>
    <w:p>
      <w:pPr>
        <w:jc w:val="center"/>
      </w:pPr>
      <w:r>
        <w:t>REA-PEN-2023-H1</w:t>
      </w:r>
    </w:p>
    <w:p/>
    <w:p>
      <w:pPr>
        <w:pStyle w:val="Heading3"/>
      </w:pPr>
      <w:r>
        <w:t>Berichtskopf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Berichtstitel</w:t>
            </w:r>
          </w:p>
        </w:tc>
        <w:tc>
          <w:tcPr>
            <w:tcW w:type="dxa" w:w="4320"/>
          </w:tcPr>
          <w:p>
            <w:r>
              <w:t>Penetrationstest-Bericht extern 2023 (H1)</w:t>
            </w:r>
          </w:p>
        </w:tc>
      </w:tr>
      <w:tr>
        <w:tc>
          <w:tcPr>
            <w:tcW w:type="dxa" w:w="4320"/>
          </w:tcPr>
          <w:p>
            <w:r>
              <w:t>Kuerzel</w:t>
            </w:r>
          </w:p>
        </w:tc>
        <w:tc>
          <w:tcPr>
            <w:tcW w:type="dxa" w:w="4320"/>
          </w:tcPr>
          <w:p>
            <w:r>
              <w:t>REA-PEN-2023-H1</w:t>
            </w:r>
          </w:p>
        </w:tc>
      </w:tr>
      <w:tr>
        <w:tc>
          <w:tcPr>
            <w:tcW w:type="dxa" w:w="4320"/>
          </w:tcPr>
          <w:p>
            <w:r>
              <w:t>Auftraggeber</w:t>
            </w:r>
          </w:p>
        </w:tc>
        <w:tc>
          <w:tcPr>
            <w:tcW w:type="dxa" w:w="4320"/>
          </w:tcPr>
          <w:p>
            <w:r>
              <w:t>Brennhagen Elektronik AG, CISO Frank Eisermann</w:t>
            </w:r>
          </w:p>
        </w:tc>
      </w:tr>
      <w:tr>
        <w:tc>
          <w:tcPr>
            <w:tcW w:type="dxa" w:w="4320"/>
          </w:tcPr>
          <w:p>
            <w:r>
              <w:t>Auftragnehmer</w:t>
            </w:r>
          </w:p>
        </w:tc>
        <w:tc>
          <w:tcPr>
            <w:tcW w:type="dxa" w:w="4320"/>
          </w:tcPr>
          <w:p>
            <w:r>
              <w:t>SecuVantage GmbH, Tuebingen (Europaplatz 3)</w:t>
            </w:r>
          </w:p>
        </w:tc>
      </w:tr>
      <w:tr>
        <w:tc>
          <w:tcPr>
            <w:tcW w:type="dxa" w:w="4320"/>
          </w:tcPr>
          <w:p>
            <w:r>
              <w:t>Lead-Pentester</w:t>
            </w:r>
          </w:p>
        </w:tc>
        <w:tc>
          <w:tcPr>
            <w:tcW w:type="dxa" w:w="4320"/>
          </w:tcPr>
          <w:p>
            <w:r>
              <w:t>Sebastian Strohmeier (CEO) / Christoph Schade (Senior Consultant)</w:t>
            </w:r>
          </w:p>
        </w:tc>
      </w:tr>
      <w:tr>
        <w:tc>
          <w:tcPr>
            <w:tcW w:type="dxa" w:w="4320"/>
          </w:tcPr>
          <w:p>
            <w:r>
              <w:t>Testzeitraum</w:t>
            </w:r>
          </w:p>
        </w:tc>
        <w:tc>
          <w:tcPr>
            <w:tcW w:type="dxa" w:w="4320"/>
          </w:tcPr>
          <w:p>
            <w:r>
              <w:t>13.03. - 31.03.2023</w:t>
            </w:r>
          </w:p>
        </w:tc>
      </w:tr>
      <w:tr>
        <w:tc>
          <w:tcPr>
            <w:tcW w:type="dxa" w:w="4320"/>
          </w:tcPr>
          <w:p>
            <w:r>
              <w:t>Berichtsversion</w:t>
            </w:r>
          </w:p>
        </w:tc>
        <w:tc>
          <w:tcPr>
            <w:tcW w:type="dxa" w:w="4320"/>
          </w:tcPr>
          <w:p>
            <w:r>
              <w:t>1.2 (final)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STRENG VERTRAULICH</w:t>
            </w:r>
          </w:p>
        </w:tc>
      </w:tr>
    </w:tbl>
    <w:p>
      <w:pPr>
        <w:pStyle w:val="Heading3"/>
      </w:pPr>
      <w:r>
        <w:t>1. Auftrag / Scope</w:t>
      </w:r>
    </w:p>
    <w:p>
      <w:r>
        <w:t>Halbjaehrlicher Penetrationstest gemaess Konzern-Rahmenvertrag REA/SecuVantage-2022 (Vertrag vom 14.03.2022, Laufzeit 3 Jahre). Scope H1/2023: (a) externe Perimeter (32 IP-Adressen), (b) Web-Applikationen (brennhagen-elektronik.de, karriere.brennhagen-elektronik.de, lieferanten-portal.brennhagen.de), (c) Microsoft 365 Tenant (Phishing-Resilienz, Conditional Access), (d) interner Test Werk Heilbronn (Insider-Threat-Szenario).</w:t>
      </w:r>
    </w:p>
    <w:p>
      <w:pPr>
        <w:pStyle w:val="Heading3"/>
      </w:pPr>
      <w:r>
        <w:t>2. Methodik</w:t>
      </w:r>
    </w:p>
    <w:p>
      <w:r>
        <w:t>Black-Box (extern) und Grey-Box (intern) gemaess PTES (Penetration Testing Execution Standard) und OWASP Web Security Testing Guide v4. Tools u.a. Burp Suite Professional, Cobalt Strike, Bloodhound, Mimikatz, eigenentwickelte SecuVantage-Tools. Reporting nach CVSS 3.1.</w:t>
      </w:r>
    </w:p>
    <w:p>
      <w:pPr>
        <w:pStyle w:val="Heading3"/>
      </w:pPr>
      <w:r>
        <w:t>3. Findings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Anzahl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Critical (&gt;=9,0)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geschlossen 21.04.2023</w:t>
            </w:r>
          </w:p>
        </w:tc>
      </w:tr>
      <w:tr>
        <w:tc>
          <w:tcPr>
            <w:tcW w:type="dxa" w:w="2880"/>
          </w:tcPr>
          <w:p>
            <w:r>
              <w:t>High (7,0-8,9)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3 geschlossen, 1 in Bearbeitung</w:t>
            </w:r>
          </w:p>
        </w:tc>
      </w:tr>
      <w:tr>
        <w:tc>
          <w:tcPr>
            <w:tcW w:type="dxa" w:w="2880"/>
          </w:tcPr>
          <w:p>
            <w:r>
              <w:t>Medium (4,0-6,9)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8 geschlossen, 3 akzeptiert</w:t>
            </w:r>
          </w:p>
        </w:tc>
      </w:tr>
      <w:tr>
        <w:tc>
          <w:tcPr>
            <w:tcW w:type="dxa" w:w="2880"/>
          </w:tcPr>
          <w:p>
            <w:r>
              <w:t>Low (&lt;4,0)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Hinweise, kein Handlungszwang</w:t>
            </w:r>
          </w:p>
        </w:tc>
      </w:tr>
    </w:tbl>
    <w:p>
      <w:pPr>
        <w:pStyle w:val="Heading3"/>
      </w:pPr>
      <w:r>
        <w:t>4. Wesentliche Findings (Auszug, Critical/High)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Titel</w:t>
            </w:r>
          </w:p>
        </w:tc>
        <w:tc>
          <w:tcPr>
            <w:tcW w:type="dxa" w:w="2160"/>
          </w:tcPr>
          <w:p>
            <w:r>
              <w:t>CVSS</w:t>
            </w:r>
          </w:p>
        </w:tc>
        <w:tc>
          <w:tcPr>
            <w:tcW w:type="dxa" w:w="2160"/>
          </w:tcPr>
          <w:p>
            <w:r>
              <w:t>Komponente</w:t>
            </w:r>
          </w:p>
        </w:tc>
      </w:tr>
      <w:tr>
        <w:tc>
          <w:tcPr>
            <w:tcW w:type="dxa" w:w="2160"/>
          </w:tcPr>
          <w:p>
            <w:r>
              <w:t>F-001</w:t>
            </w:r>
          </w:p>
        </w:tc>
        <w:tc>
          <w:tcPr>
            <w:tcW w:type="dxa" w:w="2160"/>
          </w:tcPr>
          <w:p>
            <w:r>
              <w:t>Out-of-date SAP-Webdispatcher (CVE-2023-23857)</w:t>
            </w:r>
          </w:p>
        </w:tc>
        <w:tc>
          <w:tcPr>
            <w:tcW w:type="dxa" w:w="2160"/>
          </w:tcPr>
          <w:p>
            <w:r>
              <w:t>9,1</w:t>
            </w:r>
          </w:p>
        </w:tc>
        <w:tc>
          <w:tcPr>
            <w:tcW w:type="dxa" w:w="2160"/>
          </w:tcPr>
          <w:p>
            <w:r>
              <w:t>SAP-Anbindung externes Lieferantenportal</w:t>
            </w:r>
          </w:p>
        </w:tc>
      </w:tr>
      <w:tr>
        <w:tc>
          <w:tcPr>
            <w:tcW w:type="dxa" w:w="2160"/>
          </w:tcPr>
          <w:p>
            <w:r>
              <w:t>F-002</w:t>
            </w:r>
          </w:p>
        </w:tc>
        <w:tc>
          <w:tcPr>
            <w:tcW w:type="dxa" w:w="2160"/>
          </w:tcPr>
          <w:p>
            <w:r>
              <w:t>Subdomain-Takeover karriere-test.brennhagen-elektronik.de</w:t>
            </w:r>
          </w:p>
        </w:tc>
        <w:tc>
          <w:tcPr>
            <w:tcW w:type="dxa" w:w="2160"/>
          </w:tcPr>
          <w:p>
            <w:r>
              <w:t>8,2</w:t>
            </w:r>
          </w:p>
        </w:tc>
        <w:tc>
          <w:tcPr>
            <w:tcW w:type="dxa" w:w="2160"/>
          </w:tcPr>
          <w:p>
            <w:r>
              <w:t>Azure-DNS-Konfiguration</w:t>
            </w:r>
          </w:p>
        </w:tc>
      </w:tr>
      <w:tr>
        <w:tc>
          <w:tcPr>
            <w:tcW w:type="dxa" w:w="2160"/>
          </w:tcPr>
          <w:p>
            <w:r>
              <w:t>F-003</w:t>
            </w:r>
          </w:p>
        </w:tc>
        <w:tc>
          <w:tcPr>
            <w:tcW w:type="dxa" w:w="2160"/>
          </w:tcPr>
          <w:p>
            <w:r>
              <w:t>Schwache Conditional-Access-Regel fuer Service-Accounts</w:t>
            </w:r>
          </w:p>
        </w:tc>
        <w:tc>
          <w:tcPr>
            <w:tcW w:type="dxa" w:w="2160"/>
          </w:tcPr>
          <w:p>
            <w:r>
              <w:t>7,8</w:t>
            </w:r>
          </w:p>
        </w:tc>
        <w:tc>
          <w:tcPr>
            <w:tcW w:type="dxa" w:w="2160"/>
          </w:tcPr>
          <w:p>
            <w:r>
              <w:t>Entra ID</w:t>
            </w:r>
          </w:p>
        </w:tc>
      </w:tr>
      <w:tr>
        <w:tc>
          <w:tcPr>
            <w:tcW w:type="dxa" w:w="2160"/>
          </w:tcPr>
          <w:p>
            <w:r>
              <w:t>F-004</w:t>
            </w:r>
          </w:p>
        </w:tc>
        <w:tc>
          <w:tcPr>
            <w:tcW w:type="dxa" w:w="2160"/>
          </w:tcPr>
          <w:p>
            <w:r>
              <w:t>SSRF-Anfaelligkeit in internem Lieferantenportal</w:t>
            </w:r>
          </w:p>
        </w:tc>
        <w:tc>
          <w:tcPr>
            <w:tcW w:type="dxa" w:w="2160"/>
          </w:tcPr>
          <w:p>
            <w:r>
              <w:t>7,5</w:t>
            </w:r>
          </w:p>
        </w:tc>
        <w:tc>
          <w:tcPr>
            <w:tcW w:type="dxa" w:w="2160"/>
          </w:tcPr>
          <w:p>
            <w:r>
              <w:t>Lieferantenportal</w:t>
            </w:r>
          </w:p>
        </w:tc>
      </w:tr>
      <w:tr>
        <w:tc>
          <w:tcPr>
            <w:tcW w:type="dxa" w:w="2160"/>
          </w:tcPr>
          <w:p>
            <w:r>
              <w:t>F-005</w:t>
            </w:r>
          </w:p>
        </w:tc>
        <w:tc>
          <w:tcPr>
            <w:tcW w:type="dxa" w:w="2160"/>
          </w:tcPr>
          <w:p>
            <w:r>
              <w:t>ADFS-Endpoint mit veralteter Crypto-Konfiguration</w:t>
            </w:r>
          </w:p>
        </w:tc>
        <w:tc>
          <w:tcPr>
            <w:tcW w:type="dxa" w:w="2160"/>
          </w:tcPr>
          <w:p>
            <w:r>
              <w:t>7,2</w:t>
            </w:r>
          </w:p>
        </w:tc>
        <w:tc>
          <w:tcPr>
            <w:tcW w:type="dxa" w:w="2160"/>
          </w:tcPr>
          <w:p>
            <w:r>
              <w:t>ADFS / Federation</w:t>
            </w:r>
          </w:p>
        </w:tc>
      </w:tr>
    </w:tbl>
    <w:p>
      <w:pPr>
        <w:pStyle w:val="Heading3"/>
      </w:pPr>
      <w:r>
        <w:t>5. Massnahmenplan</w:t>
      </w:r>
    </w:p>
    <w:p>
      <w:r>
        <w:t>Sofortmassnahmen Critical F-001 (Patch SAP-Webdispatcher) wurden innerhalb 7 Tage umgesetzt; Subdomain-Takeover F-002 innerhalb 24 Stunden bereinigt. Hohe Risiken wurden in den Massnahmenplan REA-MNP-2023-PEN aufgenommen; Tracking ueber JIRA / ServiceNow GRC.</w:t>
      </w:r>
    </w:p>
    <w:p>
      <w:pPr>
        <w:pStyle w:val="Heading3"/>
      </w:pPr>
      <w:r>
        <w:t>6. Empfehlungen</w:t>
      </w:r>
    </w:p>
    <w:p>
      <w:r>
        <w:t>(a) Etablierung Bug-Bounty-Programm (HackerOne / YesWeHack) ab 2024; (b) Continuous Attack Surface Management (CASM) ueber Tool wie Detectify oder Tenable ASM; (c) Roter Team / TIBER-DE-Uebung in 2024 unter Begleitung Bundesbank-Aufsicht (sofern Aufsichtsrahmen einschlaegig).</w:t>
      </w:r>
    </w:p>
    <w:p>
      <w:pPr>
        <w:pStyle w:val="Heading3"/>
      </w:pPr>
      <w:r>
        <w:t>7. Freigabe</w:t>
      </w:r>
    </w:p>
    <w:p>
      <w:r>
        <w:t>Ort, Datum: Stuttgart, den 05.04.2023</w:t>
      </w:r>
    </w:p>
    <w:p>
      <w:r>
        <w:t>_________________________            _________________________</w:t>
        <w:br/>
        <w:t>Sebastian Strohmeier                          Frank Eisermann</w:t>
        <w:br/>
        <w:t>Lead Pentester                          CISO</w:t>
        <w:br/>
        <w:t>SecuVantage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